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3D960">
      <w:pPr>
        <w:spacing w:line="360" w:lineRule="auto"/>
        <w:jc w:val="left"/>
        <w:rPr>
          <w:rFonts w:hint="eastAsia" w:ascii="仿宋" w:hAnsi="仿宋" w:eastAsia="仿宋" w:cs="仿宋"/>
          <w:b/>
          <w:color w:val="auto"/>
          <w:sz w:val="28"/>
          <w:szCs w:val="28"/>
          <w:highlight w:val="none"/>
        </w:rPr>
      </w:pPr>
    </w:p>
    <w:p w14:paraId="24E6CA40">
      <w:pPr>
        <w:spacing w:line="360" w:lineRule="auto"/>
        <w:jc w:val="left"/>
        <w:rPr>
          <w:rFonts w:hint="eastAsia" w:ascii="仿宋" w:hAnsi="仿宋" w:eastAsia="仿宋" w:cs="仿宋"/>
          <w:b/>
          <w:color w:val="auto"/>
          <w:sz w:val="28"/>
          <w:szCs w:val="28"/>
          <w:highlight w:val="none"/>
        </w:rPr>
      </w:pPr>
    </w:p>
    <w:p w14:paraId="01758D14">
      <w:pPr>
        <w:spacing w:line="360" w:lineRule="auto"/>
        <w:ind w:right="-2"/>
        <w:jc w:val="center"/>
        <w:rPr>
          <w:rFonts w:hint="eastAsia" w:ascii="黑体" w:hAnsi="黑体" w:eastAsia="黑体" w:cs="仿宋"/>
          <w:b/>
          <w:color w:val="auto"/>
          <w:sz w:val="44"/>
          <w:szCs w:val="44"/>
          <w:highlight w:val="none"/>
          <w:lang w:eastAsia="zh-CN"/>
        </w:rPr>
      </w:pPr>
      <w:r>
        <w:rPr>
          <w:rFonts w:hint="eastAsia" w:ascii="黑体" w:hAnsi="黑体" w:eastAsia="黑体" w:cs="Times New Roman"/>
          <w:b/>
          <w:color w:val="auto"/>
          <w:sz w:val="44"/>
          <w:szCs w:val="44"/>
          <w:highlight w:val="none"/>
          <w:lang w:eastAsia="zh-CN"/>
        </w:rPr>
        <w:t>南通市城市照明管理处路灯主材（PE管）项目（二次）</w:t>
      </w:r>
    </w:p>
    <w:p w14:paraId="73BECBB5">
      <w:pPr>
        <w:spacing w:line="360" w:lineRule="auto"/>
        <w:jc w:val="left"/>
        <w:rPr>
          <w:rFonts w:hint="eastAsia" w:ascii="仿宋" w:hAnsi="仿宋" w:eastAsia="仿宋" w:cs="仿宋"/>
          <w:b/>
          <w:color w:val="auto"/>
          <w:sz w:val="28"/>
          <w:szCs w:val="28"/>
          <w:highlight w:val="none"/>
        </w:rPr>
      </w:pPr>
    </w:p>
    <w:p w14:paraId="34E02921">
      <w:pPr>
        <w:spacing w:line="360" w:lineRule="auto"/>
        <w:jc w:val="center"/>
        <w:rPr>
          <w:rFonts w:hint="eastAsia" w:ascii="黑体" w:hAnsi="黑体" w:eastAsia="黑体" w:cs="仿宋"/>
          <w:b/>
          <w:bCs/>
          <w:color w:val="auto"/>
          <w:sz w:val="52"/>
          <w:szCs w:val="52"/>
          <w:highlight w:val="none"/>
          <w:lang w:val="zh-CN"/>
        </w:rPr>
      </w:pPr>
    </w:p>
    <w:p w14:paraId="4BF6AE8F">
      <w:pPr>
        <w:spacing w:line="360" w:lineRule="auto"/>
        <w:jc w:val="center"/>
        <w:rPr>
          <w:rFonts w:hint="eastAsia" w:ascii="黑体" w:hAnsi="黑体" w:eastAsia="黑体" w:cs="仿宋"/>
          <w:b/>
          <w:bCs/>
          <w:color w:val="auto"/>
          <w:sz w:val="52"/>
          <w:szCs w:val="52"/>
          <w:highlight w:val="none"/>
          <w:lang w:val="zh-CN"/>
        </w:rPr>
      </w:pPr>
    </w:p>
    <w:p w14:paraId="7AE450CC">
      <w:pPr>
        <w:spacing w:line="360" w:lineRule="auto"/>
        <w:jc w:val="center"/>
        <w:rPr>
          <w:rFonts w:hint="eastAsia" w:ascii="黑体" w:hAnsi="黑体" w:eastAsia="黑体" w:cs="仿宋"/>
          <w:b/>
          <w:bCs/>
          <w:color w:val="auto"/>
          <w:sz w:val="52"/>
          <w:szCs w:val="52"/>
          <w:highlight w:val="none"/>
          <w:lang w:val="zh-CN"/>
        </w:rPr>
      </w:pPr>
      <w:r>
        <w:rPr>
          <w:rFonts w:hint="eastAsia" w:ascii="黑体" w:hAnsi="黑体" w:eastAsia="黑体" w:cs="仿宋"/>
          <w:b/>
          <w:bCs/>
          <w:color w:val="auto"/>
          <w:sz w:val="52"/>
          <w:szCs w:val="52"/>
          <w:highlight w:val="none"/>
          <w:lang w:val="zh-CN"/>
        </w:rPr>
        <w:t>竞争性谈判文件</w:t>
      </w:r>
    </w:p>
    <w:p w14:paraId="62B2E4B3">
      <w:pPr>
        <w:spacing w:line="360" w:lineRule="auto"/>
        <w:jc w:val="left"/>
        <w:rPr>
          <w:rFonts w:hint="eastAsia" w:ascii="仿宋" w:hAnsi="仿宋" w:eastAsia="仿宋" w:cs="仿宋"/>
          <w:b/>
          <w:color w:val="auto"/>
          <w:sz w:val="28"/>
          <w:szCs w:val="28"/>
          <w:highlight w:val="none"/>
        </w:rPr>
      </w:pPr>
    </w:p>
    <w:p w14:paraId="60663FD1">
      <w:pPr>
        <w:spacing w:line="360" w:lineRule="auto"/>
        <w:ind w:firstLine="1687"/>
        <w:rPr>
          <w:rFonts w:hint="eastAsia" w:ascii="华文中宋" w:hAnsi="华文中宋" w:eastAsia="华文中宋" w:cs="仿宋"/>
          <w:b/>
          <w:color w:val="auto"/>
          <w:sz w:val="28"/>
          <w:szCs w:val="36"/>
          <w:highlight w:val="none"/>
          <w:lang w:val="en-US" w:eastAsia="zh-CN"/>
        </w:rPr>
      </w:pPr>
      <w:bookmarkStart w:id="0" w:name="_Hlk118635279"/>
      <w:r>
        <w:rPr>
          <w:rFonts w:hint="eastAsia" w:ascii="华文中宋" w:hAnsi="华文中宋" w:eastAsia="华文中宋" w:cs="仿宋"/>
          <w:b/>
          <w:color w:val="auto"/>
          <w:sz w:val="28"/>
          <w:szCs w:val="36"/>
          <w:highlight w:val="none"/>
        </w:rPr>
        <w:t>项目编号：</w:t>
      </w:r>
      <w:bookmarkEnd w:id="0"/>
      <w:r>
        <w:rPr>
          <w:rFonts w:hint="eastAsia" w:ascii="华文中宋" w:hAnsi="华文中宋" w:eastAsia="华文中宋" w:cs="仿宋"/>
          <w:b/>
          <w:color w:val="auto"/>
          <w:sz w:val="28"/>
          <w:szCs w:val="36"/>
          <w:highlight w:val="none"/>
        </w:rPr>
        <w:t>JSZC-320600-XXDF-T2025-</w:t>
      </w:r>
      <w:r>
        <w:rPr>
          <w:rFonts w:hint="eastAsia" w:ascii="华文中宋" w:hAnsi="华文中宋" w:eastAsia="华文中宋" w:cs="仿宋"/>
          <w:b/>
          <w:color w:val="auto"/>
          <w:sz w:val="28"/>
          <w:szCs w:val="36"/>
          <w:highlight w:val="none"/>
        </w:rPr>
        <w:t>006</w:t>
      </w:r>
      <w:r>
        <w:rPr>
          <w:rFonts w:hint="eastAsia" w:ascii="华文中宋" w:hAnsi="华文中宋" w:eastAsia="华文中宋" w:cs="仿宋"/>
          <w:b/>
          <w:color w:val="auto"/>
          <w:sz w:val="28"/>
          <w:szCs w:val="36"/>
          <w:highlight w:val="none"/>
          <w:lang w:val="en-US" w:eastAsia="zh-CN"/>
        </w:rPr>
        <w:t>6</w:t>
      </w:r>
    </w:p>
    <w:p w14:paraId="12064DF2">
      <w:pPr>
        <w:spacing w:line="360" w:lineRule="auto"/>
        <w:jc w:val="left"/>
        <w:rPr>
          <w:rFonts w:hint="eastAsia" w:ascii="仿宋" w:hAnsi="仿宋" w:eastAsia="仿宋" w:cs="仿宋"/>
          <w:b/>
          <w:color w:val="auto"/>
          <w:sz w:val="28"/>
          <w:szCs w:val="28"/>
          <w:highlight w:val="none"/>
        </w:rPr>
      </w:pPr>
    </w:p>
    <w:p w14:paraId="665090F3">
      <w:pPr>
        <w:spacing w:line="360" w:lineRule="auto"/>
        <w:jc w:val="left"/>
        <w:rPr>
          <w:rFonts w:hint="eastAsia" w:ascii="仿宋" w:hAnsi="仿宋" w:eastAsia="仿宋" w:cs="仿宋"/>
          <w:b/>
          <w:color w:val="auto"/>
          <w:sz w:val="28"/>
          <w:szCs w:val="28"/>
          <w:highlight w:val="none"/>
        </w:rPr>
      </w:pPr>
    </w:p>
    <w:p w14:paraId="779CC5CA">
      <w:pPr>
        <w:spacing w:line="360" w:lineRule="auto"/>
        <w:jc w:val="center"/>
        <w:rPr>
          <w:rFonts w:hint="eastAsia" w:ascii="仿宋" w:hAnsi="仿宋" w:eastAsia="仿宋" w:cs="仿宋"/>
          <w:color w:val="auto"/>
          <w:sz w:val="20"/>
          <w:szCs w:val="20"/>
          <w:highlight w:val="none"/>
          <w:lang w:val="zh-CN"/>
        </w:rPr>
      </w:pPr>
    </w:p>
    <w:p w14:paraId="211EE694">
      <w:pPr>
        <w:pStyle w:val="38"/>
        <w:rPr>
          <w:rFonts w:hint="eastAsia" w:ascii="仿宋" w:hAnsi="仿宋" w:eastAsia="仿宋" w:cs="仿宋"/>
          <w:color w:val="auto"/>
          <w:sz w:val="20"/>
          <w:szCs w:val="20"/>
          <w:highlight w:val="none"/>
          <w:lang w:val="zh-CN"/>
        </w:rPr>
      </w:pPr>
    </w:p>
    <w:p w14:paraId="141BB573">
      <w:pPr>
        <w:rPr>
          <w:rFonts w:hint="eastAsia" w:ascii="仿宋" w:hAnsi="仿宋" w:eastAsia="仿宋" w:cs="仿宋"/>
          <w:color w:val="auto"/>
          <w:sz w:val="20"/>
          <w:szCs w:val="20"/>
          <w:highlight w:val="none"/>
          <w:lang w:val="zh-CN"/>
        </w:rPr>
      </w:pPr>
    </w:p>
    <w:p w14:paraId="6A033851">
      <w:pPr>
        <w:pStyle w:val="38"/>
        <w:rPr>
          <w:rFonts w:hint="eastAsia" w:ascii="仿宋" w:hAnsi="仿宋" w:eastAsia="仿宋" w:cs="仿宋"/>
          <w:color w:val="auto"/>
          <w:sz w:val="20"/>
          <w:szCs w:val="20"/>
          <w:highlight w:val="none"/>
          <w:lang w:val="zh-CN"/>
        </w:rPr>
      </w:pPr>
    </w:p>
    <w:p w14:paraId="6A7A2B34">
      <w:pPr>
        <w:rPr>
          <w:rFonts w:hint="eastAsia" w:ascii="仿宋" w:hAnsi="仿宋" w:eastAsia="仿宋" w:cs="仿宋"/>
          <w:color w:val="auto"/>
          <w:sz w:val="20"/>
          <w:szCs w:val="20"/>
          <w:highlight w:val="none"/>
          <w:lang w:val="zh-CN"/>
        </w:rPr>
      </w:pPr>
    </w:p>
    <w:p w14:paraId="6598C9B4">
      <w:pPr>
        <w:pStyle w:val="38"/>
        <w:rPr>
          <w:rFonts w:hint="eastAsia" w:ascii="仿宋" w:hAnsi="仿宋" w:eastAsia="仿宋" w:cs="仿宋"/>
          <w:color w:val="auto"/>
          <w:sz w:val="20"/>
          <w:szCs w:val="20"/>
          <w:highlight w:val="none"/>
          <w:lang w:val="zh-CN"/>
        </w:rPr>
      </w:pPr>
    </w:p>
    <w:p w14:paraId="6C0200E8">
      <w:pPr>
        <w:rPr>
          <w:rFonts w:hint="eastAsia" w:ascii="仿宋" w:hAnsi="仿宋" w:eastAsia="仿宋" w:cs="仿宋"/>
          <w:color w:val="auto"/>
          <w:sz w:val="20"/>
          <w:szCs w:val="20"/>
          <w:highlight w:val="none"/>
          <w:lang w:val="zh-CN"/>
        </w:rPr>
      </w:pPr>
    </w:p>
    <w:p w14:paraId="0FA61368">
      <w:pPr>
        <w:pStyle w:val="38"/>
        <w:rPr>
          <w:rFonts w:hint="eastAsia" w:ascii="仿宋" w:hAnsi="仿宋" w:eastAsia="仿宋" w:cs="仿宋"/>
          <w:color w:val="auto"/>
          <w:sz w:val="20"/>
          <w:szCs w:val="20"/>
          <w:highlight w:val="none"/>
          <w:lang w:val="zh-CN"/>
        </w:rPr>
      </w:pPr>
    </w:p>
    <w:p w14:paraId="48DA01D4">
      <w:pPr>
        <w:rPr>
          <w:rFonts w:hint="eastAsia"/>
          <w:color w:val="auto"/>
          <w:highlight w:val="none"/>
          <w:lang w:val="zh-CN"/>
        </w:rPr>
      </w:pPr>
    </w:p>
    <w:p w14:paraId="76A58C70">
      <w:pPr>
        <w:pStyle w:val="282"/>
        <w:ind w:left="0" w:leftChars="0" w:firstLine="0" w:firstLineChars="0"/>
        <w:rPr>
          <w:color w:val="auto"/>
          <w:highlight w:val="none"/>
          <w:lang w:val="zh-CN"/>
        </w:rPr>
      </w:pPr>
    </w:p>
    <w:p w14:paraId="2CA88ECB">
      <w:pPr>
        <w:spacing w:line="360" w:lineRule="auto"/>
        <w:jc w:val="center"/>
        <w:rPr>
          <w:rFonts w:hint="eastAsia" w:ascii="仿宋" w:hAnsi="仿宋" w:eastAsia="仿宋" w:cs="仿宋"/>
          <w:color w:val="auto"/>
          <w:sz w:val="20"/>
          <w:szCs w:val="20"/>
          <w:highlight w:val="none"/>
          <w:lang w:val="zh-CN"/>
        </w:rPr>
      </w:pPr>
    </w:p>
    <w:p w14:paraId="188D0861">
      <w:pPr>
        <w:spacing w:line="360" w:lineRule="auto"/>
        <w:ind w:firstLine="1285"/>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采购单位：</w:t>
      </w:r>
      <w:r>
        <w:rPr>
          <w:rFonts w:hint="eastAsia" w:ascii="宋体" w:hAnsi="宋体" w:cs="宋体"/>
          <w:b/>
          <w:color w:val="auto"/>
          <w:sz w:val="32"/>
          <w:szCs w:val="32"/>
          <w:highlight w:val="none"/>
          <w:lang w:eastAsia="zh-CN"/>
        </w:rPr>
        <w:t>南通市城市照明管理处</w:t>
      </w:r>
    </w:p>
    <w:p w14:paraId="5AEFED4B">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采购代理机构：江苏新东方工程管理咨询有限公司</w:t>
      </w:r>
    </w:p>
    <w:p w14:paraId="15D514BD">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二〇二</w:t>
      </w:r>
      <w:r>
        <w:rPr>
          <w:rFonts w:hint="eastAsia" w:ascii="宋体" w:hAnsi="宋体" w:cs="宋体"/>
          <w:b/>
          <w:color w:val="auto"/>
          <w:sz w:val="32"/>
          <w:szCs w:val="32"/>
          <w:highlight w:val="none"/>
          <w:lang w:val="en-US" w:eastAsia="zh-CN"/>
        </w:rPr>
        <w:t>五</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十一</w:t>
      </w:r>
      <w:r>
        <w:rPr>
          <w:rFonts w:hint="eastAsia" w:ascii="宋体" w:hAnsi="宋体" w:cs="宋体"/>
          <w:b/>
          <w:color w:val="auto"/>
          <w:sz w:val="32"/>
          <w:szCs w:val="32"/>
          <w:highlight w:val="none"/>
        </w:rPr>
        <w:t>月</w:t>
      </w:r>
    </w:p>
    <w:p w14:paraId="6C252508">
      <w:pPr>
        <w:pStyle w:val="91"/>
        <w:ind w:firstLine="0"/>
        <w:jc w:val="center"/>
        <w:rPr>
          <w:rFonts w:hint="eastAsia" w:ascii="宋体" w:hAnsi="宋体" w:eastAsia="宋体" w:cs="宋体"/>
          <w:b/>
          <w:color w:val="auto"/>
          <w:sz w:val="44"/>
          <w:szCs w:val="44"/>
          <w:highlight w:val="none"/>
        </w:rPr>
        <w:sectPr>
          <w:headerReference r:id="rId3" w:type="default"/>
          <w:footerReference r:id="rId4" w:type="default"/>
          <w:pgSz w:w="11906" w:h="16838"/>
          <w:pgMar w:top="1417" w:right="1417" w:bottom="1417" w:left="1417" w:header="851" w:footer="992" w:gutter="0"/>
          <w:cols w:space="1701" w:num="1"/>
          <w:titlePg/>
          <w:docGrid w:linePitch="360" w:charSpace="0"/>
        </w:sectPr>
      </w:pPr>
    </w:p>
    <w:p w14:paraId="2AC99E2F">
      <w:pPr>
        <w:spacing w:line="360" w:lineRule="auto"/>
        <w:jc w:val="center"/>
        <w:outlineLvl w:val="0"/>
        <w:rPr>
          <w:rFonts w:hint="eastAsia" w:ascii="宋体" w:hAnsi="宋体" w:eastAsia="宋体" w:cs="宋体"/>
          <w:b/>
          <w:bCs/>
          <w:color w:val="auto"/>
          <w:sz w:val="52"/>
          <w:szCs w:val="32"/>
          <w:highlight w:val="none"/>
          <w:lang w:val="zh-CN"/>
        </w:rPr>
      </w:pPr>
      <w:r>
        <w:rPr>
          <w:rFonts w:hint="eastAsia" w:ascii="宋体" w:hAnsi="宋体" w:eastAsia="宋体" w:cs="宋体"/>
          <w:b/>
          <w:bCs/>
          <w:color w:val="auto"/>
          <w:sz w:val="52"/>
          <w:szCs w:val="32"/>
          <w:highlight w:val="none"/>
          <w:lang w:val="zh-CN"/>
        </w:rPr>
        <w:t>目录</w:t>
      </w:r>
    </w:p>
    <w:p w14:paraId="50B11859">
      <w:pPr>
        <w:widowControl/>
        <w:shd w:val="clear" w:color="auto" w:fill="FFFFFF"/>
        <w:spacing w:before="159" w:after="159" w:line="360" w:lineRule="auto"/>
        <w:ind w:firstLine="562"/>
        <w:jc w:val="left"/>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第一部分  采购邀请</w:t>
      </w:r>
    </w:p>
    <w:p w14:paraId="57F9B55D">
      <w:pPr>
        <w:widowControl/>
        <w:shd w:val="clear" w:color="auto" w:fill="FFFFFF"/>
        <w:spacing w:before="159" w:after="159" w:line="360" w:lineRule="auto"/>
        <w:ind w:firstLine="562"/>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 xml:space="preserve">第二部分  </w:t>
      </w:r>
      <w:r>
        <w:rPr>
          <w:rFonts w:hint="eastAsia" w:ascii="宋体" w:hAnsi="宋体" w:cs="宋体"/>
          <w:b/>
          <w:color w:val="auto"/>
          <w:sz w:val="32"/>
          <w:szCs w:val="28"/>
          <w:highlight w:val="none"/>
          <w:lang w:eastAsia="zh-CN"/>
        </w:rPr>
        <w:t>谈判</w:t>
      </w:r>
      <w:r>
        <w:rPr>
          <w:rFonts w:hint="eastAsia" w:ascii="宋体" w:hAnsi="宋体" w:eastAsia="宋体" w:cs="宋体"/>
          <w:b/>
          <w:color w:val="auto"/>
          <w:sz w:val="32"/>
          <w:szCs w:val="28"/>
          <w:highlight w:val="none"/>
        </w:rPr>
        <w:t>须知</w:t>
      </w:r>
    </w:p>
    <w:p w14:paraId="7237FF9A">
      <w:pPr>
        <w:widowControl/>
        <w:shd w:val="clear" w:color="auto" w:fill="FFFFFF"/>
        <w:spacing w:before="159" w:after="159" w:line="360" w:lineRule="auto"/>
        <w:ind w:firstLine="562"/>
        <w:jc w:val="left"/>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第三部分  项目需求</w:t>
      </w:r>
    </w:p>
    <w:p w14:paraId="255B2E25">
      <w:pPr>
        <w:widowControl/>
        <w:shd w:val="clear" w:color="auto" w:fill="FFFFFF"/>
        <w:spacing w:before="159" w:after="159" w:line="360" w:lineRule="auto"/>
        <w:ind w:firstLine="562"/>
        <w:jc w:val="left"/>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第四部分  评审方法和评审标准</w:t>
      </w:r>
    </w:p>
    <w:p w14:paraId="649A3DA8">
      <w:pPr>
        <w:widowControl/>
        <w:shd w:val="clear" w:color="auto" w:fill="FFFFFF"/>
        <w:spacing w:before="159" w:after="159" w:line="360" w:lineRule="auto"/>
        <w:ind w:firstLine="562"/>
        <w:jc w:val="left"/>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第五部分  合同条款及格式</w:t>
      </w:r>
    </w:p>
    <w:p w14:paraId="0A346E47">
      <w:pPr>
        <w:widowControl/>
        <w:shd w:val="clear" w:color="auto" w:fill="FFFFFF"/>
        <w:spacing w:before="159" w:after="159" w:line="360" w:lineRule="auto"/>
        <w:ind w:firstLine="562"/>
        <w:jc w:val="left"/>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第六部分  响应文件组成</w:t>
      </w:r>
    </w:p>
    <w:p w14:paraId="4CFA5EAC">
      <w:pPr>
        <w:pStyle w:val="70"/>
        <w:spacing w:before="638" w:after="319" w:line="360" w:lineRule="auto"/>
        <w:jc w:val="center"/>
        <w:rPr>
          <w:rFonts w:hint="eastAsia" w:ascii="宋体" w:hAnsi="宋体" w:eastAsia="宋体" w:cs="宋体"/>
          <w:color w:val="auto"/>
          <w:sz w:val="32"/>
          <w:szCs w:val="32"/>
          <w:highlight w:val="none"/>
        </w:rPr>
        <w:sectPr>
          <w:footerReference r:id="rId5" w:type="default"/>
          <w:pgSz w:w="11906" w:h="16838"/>
          <w:pgMar w:top="1417" w:right="1417" w:bottom="1417" w:left="1417" w:header="851" w:footer="992" w:gutter="0"/>
          <w:cols w:space="1701" w:num="1"/>
          <w:titlePg/>
          <w:docGrid w:linePitch="360" w:charSpace="0"/>
        </w:sectPr>
      </w:pPr>
      <w:bookmarkStart w:id="1" w:name="_Hlk117003629"/>
    </w:p>
    <w:p w14:paraId="67EFAF1E">
      <w:pPr>
        <w:pStyle w:val="70"/>
        <w:spacing w:before="0" w:after="0"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第一部分 </w:t>
      </w:r>
      <w:bookmarkStart w:id="2" w:name="_Hlk81297243"/>
      <w:bookmarkStart w:id="3" w:name="_Hlk103330607"/>
      <w:r>
        <w:rPr>
          <w:rFonts w:hint="eastAsia" w:ascii="宋体" w:hAnsi="宋体" w:eastAsia="宋体" w:cs="宋体"/>
          <w:color w:val="auto"/>
          <w:sz w:val="32"/>
          <w:szCs w:val="32"/>
          <w:highlight w:val="none"/>
        </w:rPr>
        <w:t>采购邀请</w:t>
      </w:r>
      <w:bookmarkEnd w:id="2"/>
    </w:p>
    <w:p w14:paraId="0C0F27B9">
      <w:pPr>
        <w:spacing w:line="360" w:lineRule="auto"/>
        <w:ind w:firstLine="480"/>
        <w:rPr>
          <w:rFonts w:hint="eastAsia" w:ascii="宋体" w:hAnsi="宋体" w:eastAsia="宋体" w:cs="宋体"/>
          <w:color w:val="auto"/>
          <w:sz w:val="24"/>
          <w:szCs w:val="24"/>
          <w:highlight w:val="none"/>
        </w:rPr>
      </w:pPr>
      <w:bookmarkStart w:id="4" w:name="OLE_LINK3"/>
      <w:bookmarkStart w:id="5" w:name="_Hlk117005804"/>
      <w:bookmarkStart w:id="6" w:name="OLE_LINK2"/>
      <w:r>
        <w:rPr>
          <w:rFonts w:hint="eastAsia" w:ascii="宋体" w:hAnsi="宋体" w:cs="宋体"/>
          <w:color w:val="auto"/>
          <w:sz w:val="24"/>
          <w:szCs w:val="24"/>
          <w:highlight w:val="none"/>
          <w:lang w:eastAsia="zh-CN"/>
        </w:rPr>
        <w:t>江苏新东方工程管理咨询有限公司</w:t>
      </w:r>
      <w:r>
        <w:rPr>
          <w:rFonts w:hint="eastAsia" w:ascii="宋体" w:hAnsi="宋体" w:eastAsia="宋体" w:cs="宋体"/>
          <w:color w:val="auto"/>
          <w:sz w:val="24"/>
          <w:szCs w:val="24"/>
          <w:highlight w:val="none"/>
        </w:rPr>
        <w:t>（以下简称“代理机构”）受</w:t>
      </w:r>
      <w:r>
        <w:rPr>
          <w:rFonts w:hint="eastAsia" w:ascii="宋体" w:hAnsi="宋体" w:cs="宋体"/>
          <w:color w:val="auto"/>
          <w:sz w:val="24"/>
          <w:szCs w:val="24"/>
          <w:highlight w:val="none"/>
          <w:lang w:eastAsia="zh-CN"/>
        </w:rPr>
        <w:t>南通市城市照明管理处</w:t>
      </w:r>
      <w:r>
        <w:rPr>
          <w:rFonts w:hint="eastAsia" w:ascii="宋体" w:hAnsi="宋体" w:eastAsia="宋体" w:cs="宋体"/>
          <w:color w:val="auto"/>
          <w:sz w:val="24"/>
          <w:szCs w:val="24"/>
          <w:highlight w:val="none"/>
        </w:rPr>
        <w:t>的委托，就</w:t>
      </w:r>
      <w:r>
        <w:rPr>
          <w:rFonts w:hint="eastAsia" w:ascii="宋体" w:hAnsi="宋体" w:cs="宋体"/>
          <w:color w:val="auto"/>
          <w:sz w:val="24"/>
          <w:szCs w:val="24"/>
          <w:highlight w:val="none"/>
          <w:lang w:eastAsia="zh-CN"/>
        </w:rPr>
        <w:t>南通市城市照明管理处路灯主材（PE管）项目（二次）</w:t>
      </w:r>
      <w:r>
        <w:rPr>
          <w:rFonts w:hint="eastAsia" w:ascii="宋体" w:hAnsi="宋体" w:eastAsia="宋体" w:cs="宋体"/>
          <w:color w:val="auto"/>
          <w:sz w:val="24"/>
          <w:szCs w:val="24"/>
          <w:highlight w:val="none"/>
        </w:rPr>
        <w:t>（项目编号：JSZC-320600-XXDF-T2025-006</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）进行</w:t>
      </w:r>
      <w:r>
        <w:rPr>
          <w:rFonts w:hint="eastAsia" w:ascii="宋体" w:hAnsi="宋体" w:cs="宋体"/>
          <w:color w:val="auto"/>
          <w:sz w:val="24"/>
          <w:szCs w:val="24"/>
          <w:highlight w:val="none"/>
          <w:lang w:eastAsia="zh-CN"/>
        </w:rPr>
        <w:t>竞争性谈判</w:t>
      </w:r>
      <w:r>
        <w:rPr>
          <w:rFonts w:hint="eastAsia" w:ascii="宋体" w:hAnsi="宋体" w:eastAsia="宋体" w:cs="宋体"/>
          <w:color w:val="auto"/>
          <w:sz w:val="24"/>
          <w:szCs w:val="24"/>
          <w:highlight w:val="none"/>
        </w:rPr>
        <w:t>采购，欢迎符合条件的供应商参加</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w:t>
      </w:r>
    </w:p>
    <w:p w14:paraId="21F7CAF7">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项目概况</w:t>
      </w:r>
    </w:p>
    <w:p w14:paraId="0CD3F636">
      <w:pPr>
        <w:widowControl/>
        <w:shd w:val="clear" w:color="auto" w:fill="FFFFFF"/>
        <w:spacing w:line="360" w:lineRule="auto"/>
        <w:ind w:firstLine="7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南通市城市照明管理处路灯主材（PE管）项目（二次）</w:t>
      </w:r>
      <w:r>
        <w:rPr>
          <w:rFonts w:hint="eastAsia" w:ascii="宋体" w:hAnsi="宋体" w:eastAsia="宋体" w:cs="宋体"/>
          <w:color w:val="auto"/>
          <w:sz w:val="24"/>
          <w:szCs w:val="24"/>
          <w:highlight w:val="none"/>
        </w:rPr>
        <w:t>的潜在供应商应在</w:t>
      </w:r>
      <w:r>
        <w:rPr>
          <w:rFonts w:hint="eastAsia" w:ascii="宋体" w:hAnsi="宋体" w:eastAsia="宋体" w:cs="宋体"/>
          <w:color w:val="auto"/>
          <w:sz w:val="24"/>
          <w:szCs w:val="24"/>
          <w:highlight w:val="none"/>
          <w:u w:val="single"/>
        </w:rPr>
        <w:t>“江苏政府采购网”</w:t>
      </w:r>
      <w:r>
        <w:rPr>
          <w:rFonts w:hint="eastAsia" w:ascii="宋体" w:hAnsi="宋体" w:eastAsia="宋体" w:cs="宋体"/>
          <w:color w:val="auto"/>
          <w:sz w:val="24"/>
          <w:szCs w:val="24"/>
          <w:highlight w:val="none"/>
        </w:rPr>
        <w:t>获取采购文件，并于</w:t>
      </w:r>
      <w:r>
        <w:rPr>
          <w:rFonts w:hint="eastAsia" w:ascii="宋体" w:hAnsi="宋体" w:eastAsia="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 xml:space="preserve"> 12</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 xml:space="preserve"> 04</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rPr>
        <w:t>时30分</w:t>
      </w:r>
      <w:r>
        <w:rPr>
          <w:rFonts w:hint="eastAsia" w:ascii="宋体" w:hAnsi="宋体" w:eastAsia="宋体" w:cs="宋体"/>
          <w:color w:val="auto"/>
          <w:sz w:val="24"/>
          <w:szCs w:val="24"/>
          <w:highlight w:val="none"/>
        </w:rPr>
        <w:t>（北京时间）前递交响应文件。</w:t>
      </w:r>
    </w:p>
    <w:p w14:paraId="06744420">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14:paraId="5640982B">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1、项目编号：JSZC-320600-XXDF-T2025</w:t>
      </w:r>
      <w:r>
        <w:rPr>
          <w:rFonts w:hint="eastAsia" w:ascii="宋体" w:hAnsi="宋体" w:eastAsia="宋体" w:cs="宋体"/>
          <w:color w:val="auto"/>
          <w:sz w:val="24"/>
          <w:szCs w:val="24"/>
          <w:highlight w:val="none"/>
        </w:rPr>
        <w:t>-006</w:t>
      </w:r>
      <w:r>
        <w:rPr>
          <w:rFonts w:hint="eastAsia" w:ascii="宋体" w:hAnsi="宋体" w:cs="宋体"/>
          <w:color w:val="auto"/>
          <w:sz w:val="24"/>
          <w:szCs w:val="24"/>
          <w:highlight w:val="none"/>
          <w:lang w:val="en-US" w:eastAsia="zh-CN"/>
        </w:rPr>
        <w:t>6</w:t>
      </w:r>
    </w:p>
    <w:p w14:paraId="292A38A0">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南通市城市照明管理处路灯主材（PE管）项目（二次）</w:t>
      </w:r>
    </w:p>
    <w:p w14:paraId="6AF3187C">
      <w:pPr>
        <w:widowControl/>
        <w:shd w:val="clear" w:color="auto" w:fill="FFFFFF"/>
        <w:spacing w:line="360" w:lineRule="auto"/>
        <w:ind w:firstLine="480"/>
        <w:jc w:val="lef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3、项目类型：</w:t>
      </w:r>
      <w:r>
        <w:rPr>
          <w:rFonts w:hint="eastAsia" w:ascii="宋体" w:hAnsi="宋体" w:cs="宋体"/>
          <w:color w:val="auto"/>
          <w:sz w:val="24"/>
          <w:szCs w:val="24"/>
          <w:highlight w:val="none"/>
          <w:lang w:val="en-US" w:eastAsia="zh-CN"/>
        </w:rPr>
        <w:t xml:space="preserve"> 货物类型</w:t>
      </w:r>
    </w:p>
    <w:p w14:paraId="173B7D3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所属行业：</w:t>
      </w:r>
      <w:r>
        <w:rPr>
          <w:rFonts w:hint="eastAsia" w:ascii="宋体" w:hAnsi="宋体" w:cs="宋体"/>
          <w:color w:val="auto"/>
          <w:sz w:val="24"/>
          <w:szCs w:val="24"/>
          <w:highlight w:val="none"/>
          <w:lang w:val="en-US" w:eastAsia="zh-CN"/>
        </w:rPr>
        <w:t>工业</w:t>
      </w:r>
    </w:p>
    <w:p w14:paraId="5E9A3B0B">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采购预算：</w:t>
      </w:r>
      <w:r>
        <w:rPr>
          <w:rFonts w:hint="eastAsia" w:ascii="宋体" w:hAnsi="宋体" w:cs="宋体"/>
          <w:color w:val="auto"/>
          <w:sz w:val="24"/>
          <w:szCs w:val="24"/>
          <w:highlight w:val="none"/>
          <w:lang w:val="en-US" w:eastAsia="zh-CN"/>
        </w:rPr>
        <w:t>83</w:t>
      </w:r>
      <w:r>
        <w:rPr>
          <w:rFonts w:hint="eastAsia" w:ascii="宋体" w:hAnsi="宋体" w:eastAsia="宋体" w:cs="宋体"/>
          <w:color w:val="auto"/>
          <w:sz w:val="24"/>
          <w:szCs w:val="24"/>
          <w:highlight w:val="none"/>
          <w:lang w:val="en-US" w:eastAsia="zh-CN"/>
        </w:rPr>
        <w:t>万元。</w:t>
      </w:r>
    </w:p>
    <w:p w14:paraId="218FB18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6、最高限价：</w:t>
      </w:r>
      <w:r>
        <w:rPr>
          <w:rFonts w:hint="eastAsia" w:ascii="宋体" w:hAnsi="宋体" w:cs="宋体"/>
          <w:color w:val="auto"/>
          <w:sz w:val="24"/>
          <w:szCs w:val="24"/>
          <w:highlight w:val="none"/>
          <w:lang w:val="en-US" w:eastAsia="zh-CN"/>
        </w:rPr>
        <w:t>83万</w:t>
      </w:r>
      <w:r>
        <w:rPr>
          <w:rFonts w:hint="eastAsia" w:ascii="宋体" w:hAnsi="宋体" w:eastAsia="宋体" w:cs="宋体"/>
          <w:color w:val="auto"/>
          <w:sz w:val="24"/>
          <w:szCs w:val="24"/>
          <w:highlight w:val="none"/>
          <w:lang w:eastAsia="zh-CN"/>
        </w:rPr>
        <w:t>元</w:t>
      </w:r>
      <w:r>
        <w:rPr>
          <w:rFonts w:hint="eastAsia" w:ascii="宋体" w:hAnsi="宋体" w:eastAsia="宋体" w:cs="宋体"/>
          <w:color w:val="auto"/>
          <w:sz w:val="24"/>
          <w:szCs w:val="24"/>
          <w:highlight w:val="none"/>
        </w:rPr>
        <w:t>，响应报价超过最高限价的将作为无效标处理。</w:t>
      </w:r>
    </w:p>
    <w:p w14:paraId="1E817AF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7、采购需求：详见</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文件，请仔细研究。</w:t>
      </w:r>
    </w:p>
    <w:p w14:paraId="491A6FFF">
      <w:pPr>
        <w:spacing w:line="360" w:lineRule="auto"/>
        <w:ind w:firstLine="42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cs="宋体"/>
          <w:color w:val="auto"/>
          <w:sz w:val="24"/>
          <w:szCs w:val="24"/>
          <w:highlight w:val="none"/>
          <w:lang w:val="en-US" w:eastAsia="zh-CN"/>
        </w:rPr>
        <w:t>交货期</w:t>
      </w:r>
      <w:r>
        <w:rPr>
          <w:rFonts w:hint="eastAsia" w:ascii="宋体" w:hAnsi="宋体" w:eastAsia="宋体" w:cs="宋体"/>
          <w:color w:val="auto"/>
          <w:sz w:val="24"/>
          <w:szCs w:val="24"/>
          <w:highlight w:val="none"/>
          <w:lang w:val="en-US" w:eastAsia="zh-CN"/>
        </w:rPr>
        <w:t>： 自合同签定之日起7天内开始供货，供货数量必需满足业主工程需要的要求</w:t>
      </w:r>
      <w:r>
        <w:rPr>
          <w:rFonts w:hint="eastAsia" w:ascii="宋体" w:hAnsi="宋体" w:cs="宋体"/>
          <w:color w:val="auto"/>
          <w:sz w:val="24"/>
          <w:szCs w:val="24"/>
          <w:highlight w:val="none"/>
          <w:lang w:val="en-US" w:eastAsia="zh-CN"/>
        </w:rPr>
        <w:t>，具体开工时间以采购人要求为准。</w:t>
      </w:r>
    </w:p>
    <w:p w14:paraId="33DE8846">
      <w:pPr>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.本项目是否专门面向中小企业：</w:t>
      </w:r>
      <w:r>
        <w:rPr>
          <w:rFonts w:hint="eastAsia" w:ascii="宋体" w:hAnsi="宋体" w:eastAsia="宋体" w:cs="宋体"/>
          <w:b/>
          <w:bCs/>
          <w:color w:val="auto"/>
          <w:sz w:val="24"/>
          <w:szCs w:val="24"/>
          <w:highlight w:val="none"/>
        </w:rPr>
        <w:t>是</w:t>
      </w:r>
      <w:r>
        <w:rPr>
          <w:rFonts w:hint="eastAsia" w:ascii="宋体" w:hAnsi="宋体" w:eastAsia="宋体" w:cs="宋体"/>
          <w:color w:val="auto"/>
          <w:sz w:val="24"/>
          <w:szCs w:val="24"/>
          <w:highlight w:val="none"/>
        </w:rPr>
        <w:t>。</w:t>
      </w:r>
    </w:p>
    <w:p w14:paraId="04F9ED4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.本项目是否接受联合体投标：否。</w:t>
      </w:r>
    </w:p>
    <w:p w14:paraId="29F85F7A">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二、供应商的资格要求：</w:t>
      </w:r>
    </w:p>
    <w:p w14:paraId="79470A3E">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r>
        <w:rPr>
          <w:rFonts w:hint="eastAsia" w:ascii="宋体" w:hAnsi="宋体" w:eastAsia="宋体" w:cs="宋体"/>
          <w:color w:val="auto"/>
          <w:sz w:val="24"/>
          <w:highlight w:val="none"/>
        </w:rPr>
        <w:t>：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r>
        <w:rPr>
          <w:rFonts w:hint="eastAsia" w:ascii="宋体" w:hAnsi="宋体" w:eastAsia="宋体" w:cs="宋体"/>
          <w:color w:val="auto"/>
          <w:sz w:val="24"/>
          <w:szCs w:val="24"/>
          <w:highlight w:val="none"/>
        </w:rPr>
        <w:t>。</w:t>
      </w:r>
    </w:p>
    <w:p w14:paraId="157E923B">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highlight w:val="none"/>
        </w:rPr>
        <w:t>落实政府采购政策需满足的资格要求：</w:t>
      </w:r>
      <w:r>
        <w:rPr>
          <w:rFonts w:hint="eastAsia"/>
          <w:b/>
          <w:bCs/>
          <w:color w:val="auto"/>
          <w:sz w:val="24"/>
          <w:highlight w:val="none"/>
        </w:rPr>
        <w:t>本项目专门面向中小企业采购</w:t>
      </w:r>
      <w:r>
        <w:rPr>
          <w:rFonts w:hint="eastAsia"/>
          <w:b w:val="0"/>
          <w:bCs w:val="0"/>
          <w:color w:val="auto"/>
          <w:sz w:val="24"/>
          <w:highlight w:val="none"/>
        </w:rPr>
        <w:t>。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b w:val="0"/>
          <w:bCs w:val="0"/>
          <w:color w:val="auto"/>
          <w:sz w:val="24"/>
          <w:highlight w:val="none"/>
          <w:lang w:eastAsia="zh-CN"/>
        </w:rPr>
        <w:t>。</w:t>
      </w:r>
    </w:p>
    <w:p w14:paraId="5046F088">
      <w:pPr>
        <w:numPr>
          <w:ilvl w:val="0"/>
          <w:numId w:val="0"/>
        </w:numPr>
        <w:tabs>
          <w:tab w:val="left" w:pos="5325"/>
        </w:tabs>
        <w:ind w:left="403" w:leftChars="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3、本项目的特定资格要求：</w:t>
      </w:r>
      <w:r>
        <w:rPr>
          <w:rFonts w:hint="eastAsia" w:eastAsia="宋体" w:cs="Times New Roman"/>
          <w:b w:val="0"/>
          <w:bCs w:val="0"/>
          <w:color w:val="auto"/>
          <w:sz w:val="24"/>
          <w:highlight w:val="none"/>
        </w:rPr>
        <w:t>投标人须为专业的PE管生产厂家。</w:t>
      </w:r>
    </w:p>
    <w:p w14:paraId="5D3599BD">
      <w:pPr>
        <w:keepNext w:val="0"/>
        <w:keepLines w:val="0"/>
        <w:pageBreakBefore w:val="0"/>
        <w:widowControl w:val="0"/>
        <w:shd w:val="clear" w:color="auto" w:fill="FFFFFF"/>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4、其他资格要求：</w:t>
      </w:r>
    </w:p>
    <w:p w14:paraId="747BFB34">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（1）供应商未被“信用中国”网站（www.creditchina.gov.cn）列入失信被执行人、重大税收违法案件当事人名单、政府采购严重失信行为记录名单。</w:t>
      </w:r>
    </w:p>
    <w:p w14:paraId="3372B730">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highlight w:val="none"/>
        </w:rPr>
        <w:t>单位负责人为同一人或者存在直接控股、管理关系的不同供应商，不得同时参加同一合同项下的投标。</w:t>
      </w:r>
    </w:p>
    <w:p w14:paraId="2D0BB31F">
      <w:pPr>
        <w:keepNext w:val="0"/>
        <w:keepLines w:val="0"/>
        <w:pageBreakBefore w:val="0"/>
        <w:widowControl w:val="0"/>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三、获取采购文件</w:t>
      </w:r>
    </w:p>
    <w:p w14:paraId="00808D2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1、时间：自谈判文件公告发布之日起3个工作日（北京时间）</w:t>
      </w:r>
    </w:p>
    <w:p w14:paraId="0B56266E">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2、地点：网上注册登记成功后“苏采云”系统内免费下载。</w:t>
      </w:r>
    </w:p>
    <w:p w14:paraId="3019A06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3、获取方式：本项目采用网上注册登记方式。</w:t>
      </w:r>
    </w:p>
    <w:p w14:paraId="0B81605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3.1潜在供应商访问电子招标响应交易平台的网络地址和方法：</w:t>
      </w:r>
    </w:p>
    <w:p w14:paraId="0E76C36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F4D3C26">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3.2潜在供应商访问“苏采云”系统的网络地址和方法：“苏采云”系统的网址：http://jszfcg.jsczt.cn/。</w:t>
      </w:r>
    </w:p>
    <w:p w14:paraId="5BDBAAC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3.3“CA数字证书”的获取：</w:t>
      </w:r>
    </w:p>
    <w:p w14:paraId="405DD7BA">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供应商需办理“CA 数字证书”，CA办理指南及“苏采云”操作手册可至江苏省政府采购网-办事指南-资料下载中心下载。</w:t>
      </w:r>
    </w:p>
    <w:p w14:paraId="19111C0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2FB08EA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3.4采购文件（后缀名为“.kedt”）、供应商操作手册及政府采购客户端工具可通过“苏采云”系统--已报名项目--报名详情页面内相应链接进行下载。</w:t>
      </w:r>
    </w:p>
    <w:p w14:paraId="6F2614CE">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3.5采购人或采购代理机构将数据电文形式的采购文件加载至“苏采云”系统，供潜在供应商下载或者查阅。</w:t>
      </w:r>
    </w:p>
    <w:p w14:paraId="6DAFF73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3.6请潜在供应商提前安装相应的控件（详见《江苏省政府采购管理交易系统（苏采云）供应商操作手册》）并使用谷歌浏览器登录“苏采云”系统参与不见面开评标。</w:t>
      </w:r>
    </w:p>
    <w:p w14:paraId="3C15E1B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14:paraId="48BC84B9">
      <w:pPr>
        <w:keepNext w:val="0"/>
        <w:keepLines w:val="0"/>
        <w:pageBreakBefore w:val="0"/>
        <w:widowControl w:val="0"/>
        <w:shd w:val="clear" w:color="auto" w:fill="FFFFFF"/>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注：如潜在供应商未按上述要求操作，将自行承担所产生的风险。</w:t>
      </w:r>
    </w:p>
    <w:p w14:paraId="09DC4651">
      <w:pPr>
        <w:keepNext w:val="0"/>
        <w:keepLines w:val="0"/>
        <w:pageBreakBefore w:val="0"/>
        <w:widowControl w:val="0"/>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四、响应文件提交截止时间、</w:t>
      </w:r>
      <w:r>
        <w:rPr>
          <w:rFonts w:hint="eastAsia" w:ascii="宋体" w:hAnsi="宋体" w:cs="宋体"/>
          <w:b/>
          <w:color w:val="auto"/>
          <w:sz w:val="24"/>
          <w:szCs w:val="24"/>
          <w:highlight w:val="none"/>
          <w:lang w:eastAsia="zh-CN"/>
        </w:rPr>
        <w:t>谈判</w:t>
      </w:r>
      <w:r>
        <w:rPr>
          <w:rFonts w:hint="eastAsia" w:ascii="宋体" w:hAnsi="宋体" w:eastAsia="宋体" w:cs="宋体"/>
          <w:b/>
          <w:color w:val="auto"/>
          <w:sz w:val="24"/>
          <w:szCs w:val="24"/>
          <w:highlight w:val="none"/>
        </w:rPr>
        <w:t>时间和地点</w:t>
      </w:r>
    </w:p>
    <w:p w14:paraId="2EA09D6D">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1、提交响应文件截止时间、开标时间：202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时30分（北京时间）。逾时，“苏采云”系统将拒绝接受上传响应文件电子文档。</w:t>
      </w:r>
    </w:p>
    <w:p w14:paraId="16FC2474">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2、地点：“苏采云”系统（网址：http://jszfcg.jsczt.cn/）。</w:t>
      </w:r>
    </w:p>
    <w:p w14:paraId="0837474D">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color w:val="auto"/>
          <w:sz w:val="24"/>
          <w:szCs w:val="24"/>
          <w:highlight w:val="none"/>
        </w:rPr>
        <w:t>供应商解密限定在开标后30分钟之内完成</w:t>
      </w:r>
      <w:r>
        <w:rPr>
          <w:rFonts w:hint="eastAsia" w:ascii="宋体" w:hAnsi="宋体" w:eastAsia="宋体" w:cs="宋体"/>
          <w:color w:val="auto"/>
          <w:sz w:val="24"/>
          <w:szCs w:val="24"/>
          <w:highlight w:val="non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57F198E1">
      <w:pPr>
        <w:keepNext w:val="0"/>
        <w:keepLines w:val="0"/>
        <w:pageBreakBefore w:val="0"/>
        <w:widowControl w:val="0"/>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五、公告期限</w:t>
      </w:r>
    </w:p>
    <w:p w14:paraId="47837159">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176EBB7A">
      <w:pPr>
        <w:keepNext w:val="0"/>
        <w:keepLines w:val="0"/>
        <w:pageBreakBefore w:val="0"/>
        <w:widowControl w:val="0"/>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六、其他补充事宜</w:t>
      </w:r>
    </w:p>
    <w:p w14:paraId="4484787C">
      <w:pPr>
        <w:keepNext w:val="0"/>
        <w:keepLines w:val="0"/>
        <w:pageBreakBefore w:val="0"/>
        <w:widowControl w:val="0"/>
        <w:shd w:val="clear" w:color="auto" w:fill="FFFFFF"/>
        <w:tabs>
          <w:tab w:val="left" w:pos="357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eastAsia="zh-CN"/>
        </w:rPr>
        <w:t>谈判</w:t>
      </w:r>
      <w:r>
        <w:rPr>
          <w:rFonts w:hint="eastAsia" w:ascii="宋体" w:hAnsi="宋体" w:eastAsia="宋体" w:cs="宋体"/>
          <w:bCs/>
          <w:color w:val="auto"/>
          <w:sz w:val="24"/>
          <w:szCs w:val="24"/>
          <w:highlight w:val="none"/>
        </w:rPr>
        <w:t>保证金：免收。</w:t>
      </w:r>
    </w:p>
    <w:p w14:paraId="1EC99573">
      <w:pPr>
        <w:keepNext w:val="0"/>
        <w:keepLines w:val="0"/>
        <w:pageBreakBefore w:val="0"/>
        <w:widowControl w:val="0"/>
        <w:shd w:val="clear" w:color="auto" w:fill="FFFFFF"/>
        <w:tabs>
          <w:tab w:val="left" w:pos="357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2、履约保证金：</w:t>
      </w:r>
      <w:r>
        <w:rPr>
          <w:rFonts w:hint="eastAsia" w:ascii="宋体" w:hAnsi="宋体" w:cs="宋体"/>
          <w:bCs/>
          <w:color w:val="auto"/>
          <w:sz w:val="24"/>
          <w:szCs w:val="24"/>
          <w:highlight w:val="none"/>
          <w:lang w:val="en-US" w:eastAsia="zh-CN"/>
        </w:rPr>
        <w:t>有</w:t>
      </w:r>
      <w:r>
        <w:rPr>
          <w:rFonts w:hint="eastAsia" w:ascii="宋体" w:hAnsi="宋体" w:eastAsia="宋体" w:cs="宋体"/>
          <w:bCs/>
          <w:color w:val="auto"/>
          <w:sz w:val="24"/>
          <w:szCs w:val="24"/>
          <w:highlight w:val="none"/>
        </w:rPr>
        <w:t>。</w:t>
      </w:r>
    </w:p>
    <w:p w14:paraId="1C17D04E">
      <w:pPr>
        <w:shd w:val="clear" w:color="auto" w:fill="FFFFFF"/>
        <w:tabs>
          <w:tab w:val="left" w:pos="357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3、项目</w:t>
      </w:r>
      <w:r>
        <w:rPr>
          <w:rFonts w:hint="eastAsia" w:ascii="宋体" w:hAnsi="宋体" w:cs="宋体"/>
          <w:bCs/>
          <w:color w:val="auto"/>
          <w:sz w:val="24"/>
          <w:szCs w:val="24"/>
          <w:highlight w:val="none"/>
          <w:lang w:eastAsia="zh-CN"/>
        </w:rPr>
        <w:t>谈判</w:t>
      </w:r>
      <w:r>
        <w:rPr>
          <w:rFonts w:hint="eastAsia" w:ascii="宋体" w:hAnsi="宋体" w:eastAsia="宋体" w:cs="宋体"/>
          <w:bCs/>
          <w:color w:val="auto"/>
          <w:sz w:val="24"/>
          <w:szCs w:val="24"/>
          <w:highlight w:val="none"/>
        </w:rPr>
        <w:t>活动模式：不见面远程开标模式，供应商在各自地点通过不见面交易系统参加开标会。</w:t>
      </w:r>
    </w:p>
    <w:p w14:paraId="57F04421">
      <w:pPr>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4、项目演示、样品、答辩等：无。</w:t>
      </w:r>
    </w:p>
    <w:p w14:paraId="30FEB969">
      <w:pPr>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5、对项目需求部分（项目需求）的询问、质疑请向采购人提出，由采购人负责答复；对项目</w:t>
      </w:r>
      <w:r>
        <w:rPr>
          <w:rFonts w:hint="eastAsia" w:ascii="宋体" w:hAnsi="宋体" w:cs="宋体"/>
          <w:bCs/>
          <w:color w:val="auto"/>
          <w:sz w:val="24"/>
          <w:szCs w:val="24"/>
          <w:highlight w:val="none"/>
          <w:lang w:eastAsia="zh-CN"/>
        </w:rPr>
        <w:t>谈判</w:t>
      </w:r>
      <w:r>
        <w:rPr>
          <w:rFonts w:hint="eastAsia" w:ascii="宋体" w:hAnsi="宋体" w:eastAsia="宋体" w:cs="宋体"/>
          <w:bCs/>
          <w:color w:val="auto"/>
          <w:sz w:val="24"/>
          <w:szCs w:val="24"/>
          <w:highlight w:val="none"/>
        </w:rPr>
        <w:t>文件其它部分的询问请向代理机构经办人提出。</w:t>
      </w:r>
    </w:p>
    <w:p w14:paraId="0734210A">
      <w:pPr>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2F19DA7E">
      <w:pPr>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七、对本次采购提出询问，请按以下方式联系。</w:t>
      </w:r>
    </w:p>
    <w:p w14:paraId="3B707453">
      <w:pPr>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1016B2BF">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名 称：南通市城市照明管理处</w:t>
      </w:r>
    </w:p>
    <w:p w14:paraId="759AF45B">
      <w:pPr>
        <w:widowControl/>
        <w:shd w:val="clear" w:color="auto" w:fill="FFFFFF"/>
        <w:spacing w:line="480" w:lineRule="exact"/>
        <w:ind w:firstLine="480"/>
        <w:jc w:val="left"/>
        <w:rPr>
          <w:rFonts w:hint="eastAsia" w:ascii="宋体" w:hAnsi="宋体"/>
          <w:color w:val="auto"/>
          <w:kern w:val="0"/>
          <w:sz w:val="24"/>
          <w:szCs w:val="24"/>
          <w:highlight w:val="none"/>
        </w:rPr>
      </w:pPr>
      <w:bookmarkStart w:id="7" w:name="_Toc28359009"/>
      <w:bookmarkStart w:id="8" w:name="_Toc28359086"/>
      <w:r>
        <w:rPr>
          <w:rFonts w:hint="eastAsia" w:ascii="宋体" w:hAnsi="宋体"/>
          <w:color w:val="auto"/>
          <w:kern w:val="0"/>
          <w:sz w:val="24"/>
          <w:szCs w:val="24"/>
          <w:highlight w:val="none"/>
        </w:rPr>
        <w:t>地址：南通市</w:t>
      </w:r>
      <w:r>
        <w:rPr>
          <w:rFonts w:hint="eastAsia" w:ascii="宋体" w:hAnsi="宋体"/>
          <w:color w:val="auto"/>
          <w:kern w:val="0"/>
          <w:sz w:val="24"/>
          <w:szCs w:val="24"/>
          <w:highlight w:val="none"/>
          <w:lang w:val="en-US" w:eastAsia="zh-CN"/>
        </w:rPr>
        <w:t>长和路138</w:t>
      </w:r>
      <w:r>
        <w:rPr>
          <w:rFonts w:hint="eastAsia" w:ascii="宋体" w:hAnsi="宋体"/>
          <w:color w:val="auto"/>
          <w:kern w:val="0"/>
          <w:sz w:val="24"/>
          <w:szCs w:val="24"/>
          <w:highlight w:val="none"/>
        </w:rPr>
        <w:t>号</w:t>
      </w:r>
    </w:p>
    <w:p w14:paraId="1D5A6C2F">
      <w:pPr>
        <w:widowControl/>
        <w:shd w:val="clear" w:color="auto" w:fill="FFFFFF"/>
        <w:spacing w:line="480" w:lineRule="exact"/>
        <w:ind w:firstLine="480"/>
        <w:jc w:val="left"/>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rPr>
        <w:t>联系人：吴</w:t>
      </w:r>
      <w:r>
        <w:rPr>
          <w:rFonts w:hint="eastAsia" w:ascii="宋体" w:hAnsi="宋体"/>
          <w:color w:val="auto"/>
          <w:kern w:val="0"/>
          <w:sz w:val="24"/>
          <w:szCs w:val="24"/>
          <w:highlight w:val="none"/>
          <w:lang w:val="en-US" w:eastAsia="zh-CN"/>
        </w:rPr>
        <w:t>先生</w:t>
      </w:r>
    </w:p>
    <w:p w14:paraId="4BC979F8">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联系方式：19952583678</w:t>
      </w:r>
    </w:p>
    <w:p w14:paraId="192EE21B">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2.江苏新东方工程管理咨询有限公司信息</w:t>
      </w:r>
      <w:bookmarkEnd w:id="7"/>
      <w:bookmarkEnd w:id="8"/>
    </w:p>
    <w:p w14:paraId="1CC325BB">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地　址：南通市崇川区外环东路12号2楼南侧</w:t>
      </w:r>
    </w:p>
    <w:p w14:paraId="055674E9">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 xml:space="preserve">联系人：张亚萍 </w:t>
      </w:r>
    </w:p>
    <w:p w14:paraId="713C0959">
      <w:pPr>
        <w:widowControl/>
        <w:shd w:val="clear" w:color="auto" w:fill="FFFFFF"/>
        <w:spacing w:line="480" w:lineRule="exact"/>
        <w:ind w:firstLine="480"/>
        <w:jc w:val="left"/>
        <w:rPr>
          <w:rFonts w:hint="default"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rPr>
        <w:t>联系方式：</w:t>
      </w:r>
      <w:bookmarkStart w:id="9" w:name="_Toc28359087"/>
      <w:bookmarkStart w:id="10" w:name="_Toc28359010"/>
      <w:r>
        <w:rPr>
          <w:rFonts w:hint="eastAsia" w:ascii="宋体" w:hAnsi="宋体"/>
          <w:color w:val="auto"/>
          <w:kern w:val="0"/>
          <w:sz w:val="24"/>
          <w:szCs w:val="24"/>
          <w:highlight w:val="none"/>
        </w:rPr>
        <w:t>15996553483</w:t>
      </w:r>
      <w:r>
        <w:rPr>
          <w:rFonts w:hint="eastAsia" w:ascii="宋体" w:hAnsi="宋体"/>
          <w:color w:val="auto"/>
          <w:kern w:val="0"/>
          <w:sz w:val="24"/>
          <w:szCs w:val="24"/>
          <w:highlight w:val="none"/>
          <w:lang w:val="en-US" w:eastAsia="zh-CN"/>
        </w:rPr>
        <w:t xml:space="preserve">  051385679898</w:t>
      </w:r>
    </w:p>
    <w:bookmarkEnd w:id="9"/>
    <w:bookmarkEnd w:id="10"/>
    <w:p w14:paraId="502B4EA5">
      <w:pPr>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Cs/>
          <w:color w:val="auto"/>
          <w:sz w:val="24"/>
          <w:szCs w:val="24"/>
          <w:highlight w:val="none"/>
        </w:rPr>
        <w:t>软件技术支持：0519-86722801</w:t>
      </w:r>
      <w:bookmarkEnd w:id="1"/>
      <w:bookmarkEnd w:id="3"/>
      <w:bookmarkEnd w:id="4"/>
      <w:bookmarkEnd w:id="5"/>
      <w:bookmarkEnd w:id="6"/>
    </w:p>
    <w:p w14:paraId="55140BF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7D4169D">
      <w:pPr>
        <w:pStyle w:val="70"/>
        <w:spacing w:before="0" w:after="0"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第二部分 </w:t>
      </w:r>
      <w:r>
        <w:rPr>
          <w:rFonts w:hint="eastAsia" w:ascii="宋体" w:hAnsi="宋体" w:cs="宋体"/>
          <w:color w:val="auto"/>
          <w:sz w:val="32"/>
          <w:szCs w:val="32"/>
          <w:highlight w:val="none"/>
          <w:lang w:eastAsia="zh-CN"/>
        </w:rPr>
        <w:t>谈判</w:t>
      </w:r>
      <w:r>
        <w:rPr>
          <w:rFonts w:hint="eastAsia" w:ascii="宋体" w:hAnsi="宋体" w:eastAsia="宋体" w:cs="宋体"/>
          <w:color w:val="auto"/>
          <w:sz w:val="32"/>
          <w:szCs w:val="32"/>
          <w:highlight w:val="none"/>
        </w:rPr>
        <w:t>须知</w:t>
      </w:r>
    </w:p>
    <w:p w14:paraId="499CF53D">
      <w:pPr>
        <w:pStyle w:val="71"/>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11" w:name="_Toc513029203"/>
      <w:bookmarkStart w:id="12" w:name="_Toc16938519"/>
      <w:bookmarkStart w:id="13" w:name="_Toc120614214"/>
      <w:bookmarkStart w:id="14" w:name="_Toc20823275"/>
      <w:r>
        <w:rPr>
          <w:rFonts w:hint="eastAsia" w:ascii="宋体" w:hAnsi="宋体" w:eastAsia="宋体" w:cs="宋体"/>
          <w:color w:val="auto"/>
          <w:sz w:val="24"/>
          <w:szCs w:val="24"/>
          <w:highlight w:val="none"/>
        </w:rPr>
        <w:t>（一）总则</w:t>
      </w:r>
      <w:bookmarkEnd w:id="11"/>
      <w:bookmarkEnd w:id="12"/>
      <w:bookmarkEnd w:id="13"/>
      <w:bookmarkEnd w:id="14"/>
    </w:p>
    <w:p w14:paraId="1DCDAC01">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15" w:name="_Hlt16619475"/>
      <w:bookmarkEnd w:id="15"/>
      <w:bookmarkStart w:id="16" w:name="_Toc458694821"/>
      <w:bookmarkStart w:id="17" w:name="_Toc513029204"/>
      <w:bookmarkStart w:id="18" w:name="_Toc16938520"/>
      <w:bookmarkStart w:id="19" w:name="_Toc20823276"/>
      <w:r>
        <w:rPr>
          <w:rFonts w:hint="eastAsia" w:ascii="宋体" w:hAnsi="宋体" w:eastAsia="宋体" w:cs="宋体"/>
          <w:color w:val="auto"/>
          <w:sz w:val="24"/>
          <w:szCs w:val="24"/>
          <w:highlight w:val="none"/>
        </w:rPr>
        <w:t>1</w:t>
      </w:r>
      <w:bookmarkEnd w:id="16"/>
      <w:r>
        <w:rPr>
          <w:rFonts w:hint="eastAsia" w:ascii="宋体" w:hAnsi="宋体" w:eastAsia="宋体" w:cs="宋体"/>
          <w:color w:val="auto"/>
          <w:sz w:val="24"/>
          <w:szCs w:val="24"/>
          <w:highlight w:val="none"/>
        </w:rPr>
        <w:t>、采购方式</w:t>
      </w:r>
      <w:bookmarkEnd w:id="17"/>
      <w:bookmarkEnd w:id="18"/>
      <w:bookmarkEnd w:id="19"/>
    </w:p>
    <w:p w14:paraId="646484B9">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本次采取</w:t>
      </w:r>
      <w:r>
        <w:rPr>
          <w:rFonts w:hint="eastAsia" w:ascii="宋体" w:hAnsi="宋体" w:cs="宋体"/>
          <w:color w:val="auto"/>
          <w:sz w:val="24"/>
          <w:szCs w:val="24"/>
          <w:highlight w:val="none"/>
          <w:lang w:eastAsia="zh-CN"/>
        </w:rPr>
        <w:t>竞争性谈判</w:t>
      </w:r>
      <w:r>
        <w:rPr>
          <w:rFonts w:hint="eastAsia" w:ascii="宋体" w:hAnsi="宋体" w:eastAsia="宋体" w:cs="宋体"/>
          <w:color w:val="auto"/>
          <w:sz w:val="24"/>
          <w:szCs w:val="24"/>
          <w:highlight w:val="none"/>
        </w:rPr>
        <w:t>方式，本</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文件仅适用于</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公告中所述项目。</w:t>
      </w:r>
    </w:p>
    <w:p w14:paraId="6729765A">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20" w:name="_Toc20823277"/>
      <w:bookmarkStart w:id="21" w:name="_Toc513029205"/>
      <w:bookmarkStart w:id="22" w:name="_Toc16938521"/>
      <w:r>
        <w:rPr>
          <w:rFonts w:hint="eastAsia" w:ascii="宋体" w:hAnsi="宋体" w:eastAsia="宋体" w:cs="宋体"/>
          <w:color w:val="auto"/>
          <w:sz w:val="24"/>
          <w:szCs w:val="24"/>
          <w:highlight w:val="none"/>
        </w:rPr>
        <w:t>2、合格的</w:t>
      </w:r>
      <w:bookmarkEnd w:id="20"/>
      <w:bookmarkEnd w:id="21"/>
      <w:bookmarkEnd w:id="22"/>
      <w:r>
        <w:rPr>
          <w:rFonts w:hint="eastAsia" w:ascii="宋体" w:hAnsi="宋体" w:eastAsia="宋体" w:cs="宋体"/>
          <w:color w:val="auto"/>
          <w:sz w:val="24"/>
          <w:szCs w:val="24"/>
          <w:highlight w:val="none"/>
        </w:rPr>
        <w:t>供应商</w:t>
      </w:r>
    </w:p>
    <w:p w14:paraId="76CBB52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公告中供应商的资格要求的规定。</w:t>
      </w:r>
    </w:p>
    <w:p w14:paraId="72319740">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满足本文件实质性条款的规定。</w:t>
      </w:r>
    </w:p>
    <w:p w14:paraId="23CC9C37">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23" w:name="_Toc16938522"/>
      <w:bookmarkStart w:id="24" w:name="_Toc20823278"/>
      <w:bookmarkStart w:id="25" w:name="_Toc513029206"/>
      <w:r>
        <w:rPr>
          <w:rFonts w:hint="eastAsia" w:ascii="宋体" w:hAnsi="宋体" w:eastAsia="宋体" w:cs="宋体"/>
          <w:color w:val="auto"/>
          <w:sz w:val="24"/>
          <w:szCs w:val="24"/>
          <w:highlight w:val="none"/>
        </w:rPr>
        <w:t>3、适用法律</w:t>
      </w:r>
      <w:bookmarkEnd w:id="23"/>
      <w:bookmarkEnd w:id="24"/>
      <w:bookmarkEnd w:id="25"/>
    </w:p>
    <w:p w14:paraId="609C769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本次采购及由此产生的合同受中华人民共和国有关的法律法规制约和保护。</w:t>
      </w:r>
    </w:p>
    <w:p w14:paraId="0EBFACDD">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26" w:name="_Toc513029207"/>
      <w:bookmarkStart w:id="27" w:name="_Toc20823279"/>
      <w:bookmarkStart w:id="28" w:name="_Toc462564067"/>
      <w:bookmarkStart w:id="29" w:name="_Toc16938523"/>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费用</w:t>
      </w:r>
      <w:bookmarkEnd w:id="26"/>
      <w:bookmarkEnd w:id="27"/>
      <w:bookmarkEnd w:id="28"/>
      <w:bookmarkEnd w:id="29"/>
    </w:p>
    <w:p w14:paraId="4BAC1898">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供应商应自行承担所有与参加</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有关的费用，无论</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过程中的做法和结果如何，采购人和招标代理机构在任何情况下均无义务和责任承担这些费用。</w:t>
      </w:r>
    </w:p>
    <w:p w14:paraId="3F9968B0">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采购人不收取任何费用。代理服务费按</w:t>
      </w:r>
      <w:r>
        <w:rPr>
          <w:rFonts w:hint="eastAsia" w:ascii="宋体" w:hAnsi="宋体" w:cs="宋体"/>
          <w:color w:val="auto"/>
          <w:sz w:val="24"/>
          <w:szCs w:val="24"/>
          <w:highlight w:val="none"/>
          <w:lang w:val="en-US" w:eastAsia="zh-CN"/>
        </w:rPr>
        <w:t>4500</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，由采购人支付</w:t>
      </w:r>
      <w:r>
        <w:rPr>
          <w:rFonts w:hint="eastAsia" w:ascii="宋体" w:hAnsi="宋体" w:eastAsia="宋体" w:cs="宋体"/>
          <w:color w:val="auto"/>
          <w:sz w:val="24"/>
          <w:szCs w:val="24"/>
          <w:highlight w:val="none"/>
        </w:rPr>
        <w:t>。</w:t>
      </w:r>
    </w:p>
    <w:p w14:paraId="4BDC08E7">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文件的约束力</w:t>
      </w:r>
    </w:p>
    <w:p w14:paraId="2D6D68CF">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供应商一旦参加本项目采购活动，即被认为接受了本</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文件的规定和约束。</w:t>
      </w:r>
    </w:p>
    <w:p w14:paraId="4F74B28B">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文件的解释</w:t>
      </w:r>
    </w:p>
    <w:p w14:paraId="1B3D4C98">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文件需求部分（项目需求）由采购人解释，其它部分由采购代理机构解释。</w:t>
      </w:r>
    </w:p>
    <w:p w14:paraId="6D3E3357">
      <w:pPr>
        <w:pStyle w:val="71"/>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30" w:name="_Toc513029209"/>
      <w:bookmarkStart w:id="31" w:name="_Toc16938525"/>
      <w:bookmarkStart w:id="32" w:name="_Toc120614215"/>
      <w:bookmarkStart w:id="33" w:name="_Toc20823281"/>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w:t>
      </w:r>
      <w:bookmarkEnd w:id="30"/>
      <w:bookmarkEnd w:id="31"/>
      <w:bookmarkEnd w:id="32"/>
      <w:bookmarkEnd w:id="33"/>
    </w:p>
    <w:p w14:paraId="5DCE022A">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34" w:name="_Toc16938526"/>
      <w:bookmarkStart w:id="35" w:name="_Toc513029210"/>
      <w:bookmarkStart w:id="36" w:name="_Toc20823282"/>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文件构成</w:t>
      </w:r>
      <w:bookmarkEnd w:id="34"/>
      <w:bookmarkEnd w:id="35"/>
      <w:bookmarkEnd w:id="36"/>
    </w:p>
    <w:p w14:paraId="58C77222">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文件由以下部分组成：</w:t>
      </w:r>
    </w:p>
    <w:p w14:paraId="10B98EB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（1）采购邀请</w:t>
      </w:r>
    </w:p>
    <w:p w14:paraId="7C56213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须知</w:t>
      </w:r>
    </w:p>
    <w:p w14:paraId="62342A7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（3）项目需求</w:t>
      </w:r>
    </w:p>
    <w:p w14:paraId="4AE7DDBE">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（4）评审方法和评审标准</w:t>
      </w:r>
    </w:p>
    <w:p w14:paraId="055B647C">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（5）合同条款及格式</w:t>
      </w:r>
    </w:p>
    <w:p w14:paraId="61A85C9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（6）响应文件组成</w:t>
      </w:r>
    </w:p>
    <w:p w14:paraId="7C66BFB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（7）附件</w:t>
      </w:r>
    </w:p>
    <w:p w14:paraId="260BD2A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文件是否齐全，如有缺漏请立即与采购代理机构联系解决。</w:t>
      </w:r>
    </w:p>
    <w:p w14:paraId="402C92A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供应商应认真阅读</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文件中所有的事项、格式、条款和规范等要求。按</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文件要求和规定编制响应文件，并保证所提供的全部资料的真实性，以使其响应文件对</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文件作出实质性响应，否则其风险由供应商自行承担。</w:t>
      </w:r>
    </w:p>
    <w:p w14:paraId="68BBF87F">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37" w:name="_Toc20823283"/>
      <w:bookmarkStart w:id="38" w:name="_Toc513029211"/>
      <w:bookmarkStart w:id="39" w:name="_Toc16938527"/>
      <w:bookmarkStart w:id="40" w:name="_Toc462564070"/>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文件的澄清</w:t>
      </w:r>
      <w:bookmarkEnd w:id="37"/>
      <w:bookmarkEnd w:id="38"/>
      <w:bookmarkEnd w:id="39"/>
      <w:bookmarkEnd w:id="40"/>
    </w:p>
    <w:p w14:paraId="0AB60B8D">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任何要求对</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文件进行澄清的供应商，应在提交首次响应文件截止时间五日前按</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公告中的通讯地址，以书面形式通知采购人。采购人有权对发出的</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文件进行必要的澄清或修改。</w:t>
      </w:r>
    </w:p>
    <w:p w14:paraId="4B744372">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采购人视情组织答疑会。</w:t>
      </w:r>
    </w:p>
    <w:p w14:paraId="0FDA3B6A">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41" w:name="_Toc16938528"/>
      <w:bookmarkStart w:id="42" w:name="_Toc462564071"/>
      <w:bookmarkStart w:id="43" w:name="_Toc20823284"/>
      <w:bookmarkStart w:id="44" w:name="_Toc513029212"/>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文件的修改</w:t>
      </w:r>
      <w:bookmarkEnd w:id="41"/>
      <w:bookmarkEnd w:id="42"/>
      <w:bookmarkEnd w:id="43"/>
      <w:bookmarkEnd w:id="44"/>
    </w:p>
    <w:p w14:paraId="06C1167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在响应文件提交截止时间前，采购代理机构可以对</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文件进行修改。</w:t>
      </w:r>
    </w:p>
    <w:p w14:paraId="35861C3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采购代理机构有权按照法定的要求推迟响应文件提交截止日期和</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日期。</w:t>
      </w:r>
    </w:p>
    <w:p w14:paraId="1733289D">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文件的修改将在指定媒体上公布，补充文件将作为</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文件的组成部分，并对供应商具有约束力。</w:t>
      </w:r>
    </w:p>
    <w:p w14:paraId="0006BFD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在投标响应截止日期前，采购人对采购文件进行澄清或者修改的，通过“苏采云”系统发布澄清公告或者修改的内容。澄清或者修改的内容以所发布的本项目的“更正（澄清）公告”的形式通知所有获取采购文件的供应商。发布本项目的“更正（澄清）公告”后采购代理机构已尽通知义务。敬请各潜供应商关注本项目的“更正（澄清）公告”，并通过“苏采云”系统重新下载更正（澄清）后的采购文件（后缀名为“.kedt”），离线编制响应文件，否则，将自行承担相应的风险。</w:t>
      </w:r>
    </w:p>
    <w:p w14:paraId="52936155">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供应商对采购人提供的采购文件所做出的推论、解释和结论，采购人概不负责。供应商由于对采购文件的任何推论和误解以及采购人对有关问题的口头解释所造成的后果，均由各潜在供应商自负。</w:t>
      </w:r>
    </w:p>
    <w:p w14:paraId="20A06FA6">
      <w:pPr>
        <w:pStyle w:val="71"/>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45" w:name="_Toc120614216"/>
      <w:bookmarkStart w:id="46" w:name="_Toc16938529"/>
      <w:bookmarkStart w:id="47" w:name="_Toc462564072"/>
      <w:bookmarkStart w:id="48" w:name="_Toc20823285"/>
      <w:bookmarkStart w:id="49" w:name="_Toc513029213"/>
      <w:r>
        <w:rPr>
          <w:rFonts w:hint="eastAsia" w:ascii="宋体" w:hAnsi="宋体" w:eastAsia="宋体" w:cs="宋体"/>
          <w:color w:val="auto"/>
          <w:sz w:val="24"/>
          <w:szCs w:val="24"/>
          <w:highlight w:val="none"/>
        </w:rPr>
        <w:t>（三）响应文件的编制</w:t>
      </w:r>
      <w:bookmarkEnd w:id="45"/>
      <w:bookmarkEnd w:id="46"/>
      <w:bookmarkEnd w:id="47"/>
      <w:bookmarkEnd w:id="48"/>
      <w:bookmarkEnd w:id="49"/>
    </w:p>
    <w:p w14:paraId="539B63A0">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50" w:name="_Toc462564073"/>
      <w:bookmarkStart w:id="51" w:name="_Toc20823286"/>
      <w:bookmarkStart w:id="52" w:name="_Toc513029214"/>
      <w:bookmarkStart w:id="53" w:name="_Toc16938530"/>
      <w:r>
        <w:rPr>
          <w:rFonts w:hint="eastAsia" w:ascii="宋体" w:hAnsi="宋体" w:eastAsia="宋体" w:cs="宋体"/>
          <w:color w:val="auto"/>
          <w:sz w:val="24"/>
          <w:szCs w:val="24"/>
          <w:highlight w:val="none"/>
        </w:rPr>
        <w:t>1、响应文件的语言及度量衡单位</w:t>
      </w:r>
      <w:bookmarkEnd w:id="50"/>
      <w:bookmarkEnd w:id="51"/>
      <w:bookmarkEnd w:id="52"/>
      <w:bookmarkEnd w:id="53"/>
    </w:p>
    <w:p w14:paraId="0EE6557F">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供应商提交的响应文件以及供应商与采购代理机构及采购人就有关</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的所有来往通知、函件和文件均应使用简体中文。</w:t>
      </w:r>
    </w:p>
    <w:p w14:paraId="78B7388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除技术性能另有规定外，响应文件所使用的度量衡单位，均须采用国家法定计量单位。</w:t>
      </w:r>
    </w:p>
    <w:p w14:paraId="58E75F4E">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54" w:name="_Toc462564074"/>
      <w:bookmarkStart w:id="55" w:name="_Toc20823287"/>
      <w:bookmarkStart w:id="56" w:name="_Toc513029215"/>
      <w:bookmarkStart w:id="57" w:name="_Toc16938531"/>
      <w:r>
        <w:rPr>
          <w:rFonts w:hint="eastAsia" w:ascii="宋体" w:hAnsi="宋体" w:eastAsia="宋体" w:cs="宋体"/>
          <w:color w:val="auto"/>
          <w:sz w:val="24"/>
          <w:szCs w:val="24"/>
          <w:highlight w:val="none"/>
        </w:rPr>
        <w:t>2、响应文件构成</w:t>
      </w:r>
      <w:bookmarkEnd w:id="54"/>
      <w:bookmarkEnd w:id="55"/>
      <w:bookmarkEnd w:id="56"/>
      <w:bookmarkEnd w:id="57"/>
    </w:p>
    <w:p w14:paraId="7E05170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lang w:eastAsia="zh-CN"/>
        </w:rPr>
      </w:pPr>
      <w:bookmarkStart w:id="58" w:name="_Hlt26954838"/>
      <w:bookmarkEnd w:id="58"/>
      <w:bookmarkStart w:id="59" w:name="_Hlt26668975"/>
      <w:bookmarkEnd w:id="59"/>
      <w:bookmarkStart w:id="60" w:name="_Hlt26670360"/>
      <w:bookmarkEnd w:id="60"/>
      <w:bookmarkStart w:id="61" w:name="_Toc49090511"/>
      <w:bookmarkStart w:id="62" w:name="_Toc14577360"/>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.1供应商编写的响应文件应包括资格审查文件、</w:t>
      </w:r>
      <w:r>
        <w:rPr>
          <w:rFonts w:hint="eastAsia" w:ascii="宋体" w:hAnsi="宋体" w:eastAsia="宋体" w:cs="宋体"/>
          <w:color w:val="auto"/>
          <w:sz w:val="24"/>
          <w:szCs w:val="24"/>
          <w:highlight w:val="none"/>
          <w:lang w:val="en-US" w:eastAsia="zh-CN"/>
        </w:rPr>
        <w:t>符合性审查文件、</w:t>
      </w:r>
      <w:r>
        <w:rPr>
          <w:rFonts w:hint="eastAsia" w:ascii="宋体" w:hAnsi="宋体" w:eastAsia="宋体" w:cs="宋体"/>
          <w:color w:val="auto"/>
          <w:sz w:val="24"/>
          <w:szCs w:val="24"/>
          <w:highlight w:val="none"/>
          <w:lang w:eastAsia="zh-CN"/>
        </w:rPr>
        <w:t>商务技术标文件（如需）、价格标文件。供应商按“第六部分 响应文件组成”要求编写响应文件。</w:t>
      </w:r>
      <w:bookmarkEnd w:id="61"/>
      <w:bookmarkEnd w:id="62"/>
    </w:p>
    <w:p w14:paraId="0B98D58F">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响应有效期</w:t>
      </w:r>
    </w:p>
    <w:p w14:paraId="6213E184">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响应有效期为采购代理机构规定的响应文件提交截止时间后六十（60）天。</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响应有效期比规定短的将被视为非实质性响应而予以拒绝。</w:t>
      </w:r>
    </w:p>
    <w:p w14:paraId="5F3F81D2">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响应有效期的延长</w:t>
      </w:r>
    </w:p>
    <w:p w14:paraId="41C268D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在特殊情况下，采购代理机构于原</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响应有效期满之前，可向</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供应商提出延长</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响应有效期的要求。这种要求与答复均应采用书面形式。供应商可以拒绝采购代理机构的这一要求而放弃</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响应，同意延长</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响应有效期的供应商既不能要求也不允许修改其响应文件。受</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响应有效期约束的所有权利与义务均延长至新的有效期。</w:t>
      </w:r>
    </w:p>
    <w:p w14:paraId="084DDF37">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、电子响应文件其他要求</w:t>
      </w:r>
    </w:p>
    <w:p w14:paraId="385E5C3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.1 电子招标投标交易平台（即“苏采云”系统）相关要求是本采购文件的组成部分。</w:t>
      </w:r>
    </w:p>
    <w:p w14:paraId="3B7D838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.2 供应商应对CA证书妥善保管，如被他人盗用投标，因此带来的结果均由供应商自行承担。</w:t>
      </w:r>
    </w:p>
    <w:p w14:paraId="5BF6D9A2">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.3 供应商应当对采购文件提出的实质性要求和条件作出实质性响应，并在电子投标系统逐条应答。</w:t>
      </w:r>
    </w:p>
    <w:p w14:paraId="757CD19E">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.4 供应商应对要求提供的资格证明文件（如资质证书、资格证书）、技术资料（如白皮书、彩页、手册、检测报告等）扫描上传至投标系统。 </w:t>
      </w:r>
    </w:p>
    <w:p w14:paraId="52E7DFC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.5 供应商应当在采购文件要求提交响应文件的截止时间前，将响应文件提交至“苏采云”系统，逾期提交的响应文件，“苏采云”系统将自动拒收。各供应商应在规定时间内凭CA证书进行网上解密。</w:t>
      </w:r>
    </w:p>
    <w:p w14:paraId="0D2069D7">
      <w:pPr>
        <w:pStyle w:val="71"/>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63" w:name="_Hlt26954852"/>
      <w:bookmarkEnd w:id="63"/>
      <w:bookmarkStart w:id="64" w:name="_Hlt26954739"/>
      <w:bookmarkEnd w:id="64"/>
      <w:bookmarkStart w:id="65" w:name="_Toc16938540"/>
      <w:bookmarkStart w:id="66" w:name="_Toc513029224"/>
      <w:bookmarkStart w:id="67" w:name="_Toc120614217"/>
      <w:bookmarkStart w:id="68" w:name="_Toc20823296"/>
      <w:r>
        <w:rPr>
          <w:rFonts w:hint="eastAsia" w:ascii="宋体" w:hAnsi="宋体" w:eastAsia="宋体" w:cs="宋体"/>
          <w:color w:val="auto"/>
          <w:sz w:val="24"/>
          <w:szCs w:val="24"/>
          <w:highlight w:val="none"/>
        </w:rPr>
        <w:t>（四）响应文件的提交</w:t>
      </w:r>
      <w:bookmarkEnd w:id="65"/>
      <w:bookmarkEnd w:id="66"/>
      <w:bookmarkEnd w:id="67"/>
      <w:bookmarkEnd w:id="68"/>
    </w:p>
    <w:p w14:paraId="1A1ED4C5">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69" w:name="_Toc462564084"/>
      <w:bookmarkStart w:id="70" w:name="_Toc20823297"/>
      <w:bookmarkStart w:id="71" w:name="_Toc513029225"/>
      <w:bookmarkStart w:id="72" w:name="_Toc16938541"/>
      <w:r>
        <w:rPr>
          <w:rFonts w:hint="eastAsia" w:ascii="宋体" w:hAnsi="宋体" w:eastAsia="宋体" w:cs="宋体"/>
          <w:color w:val="auto"/>
          <w:sz w:val="24"/>
          <w:szCs w:val="24"/>
          <w:highlight w:val="none"/>
        </w:rPr>
        <w:t>1</w:t>
      </w:r>
      <w:bookmarkEnd w:id="69"/>
      <w:bookmarkEnd w:id="70"/>
      <w:bookmarkEnd w:id="71"/>
      <w:bookmarkEnd w:id="72"/>
      <w:r>
        <w:rPr>
          <w:rFonts w:hint="eastAsia" w:ascii="宋体" w:hAnsi="宋体" w:eastAsia="宋体" w:cs="宋体"/>
          <w:color w:val="auto"/>
          <w:sz w:val="24"/>
          <w:szCs w:val="24"/>
          <w:highlight w:val="none"/>
        </w:rPr>
        <w:t>、响应文件的递交</w:t>
      </w:r>
    </w:p>
    <w:p w14:paraId="4DC0BAEF">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线上提交与接收地点：供应商应当通过“苏采云”系统提交数据电文形式的响应文件（即电子投标），“苏采云”系统自动接收。</w:t>
      </w:r>
    </w:p>
    <w:p w14:paraId="746D289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p>
    <w:p w14:paraId="39C9BCA2">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73" w:name="_Toc20823298"/>
      <w:bookmarkStart w:id="74" w:name="_Toc16938542"/>
      <w:bookmarkStart w:id="75" w:name="_Toc513029226"/>
      <w:r>
        <w:rPr>
          <w:rFonts w:hint="eastAsia" w:ascii="宋体" w:hAnsi="宋体" w:eastAsia="宋体" w:cs="宋体"/>
          <w:color w:val="auto"/>
          <w:sz w:val="24"/>
          <w:szCs w:val="24"/>
          <w:highlight w:val="none"/>
        </w:rPr>
        <w:t>2、响应文件截止日期</w:t>
      </w:r>
      <w:bookmarkEnd w:id="73"/>
      <w:bookmarkEnd w:id="74"/>
      <w:bookmarkEnd w:id="75"/>
    </w:p>
    <w:p w14:paraId="077C7C5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供应商上传电子响应文件的时间不得迟于招标公告中规定的投标截止时间。</w:t>
      </w:r>
    </w:p>
    <w:p w14:paraId="3EEDA31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供应商应充分考虑到网络环境、网络带宽等风险因素，如因供应商自身原因造成的电子响应文件上传不成功由供应商自行承担全部责任。</w:t>
      </w:r>
    </w:p>
    <w:p w14:paraId="21313AE9">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采购人或采购代理机构可以按照规定，通过修改招标文件酌情延长投标截止日期，在此情况下，供应商的所有权利和义务以及供应商受制的截止日期均应以延长后新的截止日期为准。</w:t>
      </w:r>
    </w:p>
    <w:p w14:paraId="3A1225A5">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3、响应文件的加密要求</w:t>
      </w:r>
    </w:p>
    <w:p w14:paraId="78E6C5B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719F1E80">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3.2供应商须通过“苏采云”系统提供的政府采购客户端工具（使用“CA数字证书”）加盖电子签章。</w:t>
      </w:r>
    </w:p>
    <w:p w14:paraId="3DA9525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说明：供应商应在用CA数字证书以及自备的能够登录“苏采云”系统的笔记本电脑，在达到开标时间后，使用CA数字证书解密各自响应文件。</w:t>
      </w:r>
    </w:p>
    <w:p w14:paraId="74ECDEA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3.3供应商未按规定加密的响应文件，“苏采云”系统应当拒收并提示。</w:t>
      </w:r>
    </w:p>
    <w:p w14:paraId="00414736">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76" w:name="_Toc16938543"/>
      <w:bookmarkStart w:id="77" w:name="_Toc513029227"/>
      <w:bookmarkStart w:id="78" w:name="_Toc20823299"/>
      <w:r>
        <w:rPr>
          <w:rFonts w:hint="eastAsia" w:ascii="宋体" w:hAnsi="宋体" w:eastAsia="宋体" w:cs="宋体"/>
          <w:color w:val="auto"/>
          <w:sz w:val="24"/>
          <w:szCs w:val="24"/>
          <w:highlight w:val="none"/>
        </w:rPr>
        <w:t>4、响应文件</w:t>
      </w:r>
      <w:bookmarkEnd w:id="76"/>
      <w:bookmarkEnd w:id="77"/>
      <w:bookmarkEnd w:id="78"/>
      <w:r>
        <w:rPr>
          <w:rFonts w:hint="eastAsia" w:ascii="宋体" w:hAnsi="宋体" w:eastAsia="宋体" w:cs="宋体"/>
          <w:color w:val="auto"/>
          <w:sz w:val="24"/>
          <w:szCs w:val="24"/>
          <w:highlight w:val="none"/>
        </w:rPr>
        <w:t>的拒收</w:t>
      </w:r>
    </w:p>
    <w:p w14:paraId="4FA2D455">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采购人或采购代理机构拒绝接收在其规定的投标截止时间后上传的任何响应文件。</w:t>
      </w:r>
    </w:p>
    <w:p w14:paraId="00083A54">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79" w:name="_Toc20823300"/>
      <w:bookmarkStart w:id="80" w:name="_Toc513029228"/>
      <w:bookmarkStart w:id="81" w:name="_Toc16938544"/>
      <w:r>
        <w:rPr>
          <w:rFonts w:hint="eastAsia" w:ascii="宋体" w:hAnsi="宋体" w:eastAsia="宋体" w:cs="宋体"/>
          <w:color w:val="auto"/>
          <w:sz w:val="24"/>
          <w:szCs w:val="24"/>
          <w:highlight w:val="none"/>
        </w:rPr>
        <w:t>5、响应文件的撤回和修改</w:t>
      </w:r>
      <w:bookmarkEnd w:id="79"/>
      <w:bookmarkEnd w:id="80"/>
      <w:bookmarkEnd w:id="81"/>
    </w:p>
    <w:p w14:paraId="096C3FE9">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响应文件的撤回</w:t>
      </w:r>
    </w:p>
    <w:p w14:paraId="7A83C2C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 电子响应文件的撤回</w:t>
      </w:r>
    </w:p>
    <w:p w14:paraId="50497F3C">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供应商可在投标截止时间前，撤回其电子响应文件，具体操作方法见CA办理指南及“苏采云”操作手册。</w:t>
      </w:r>
    </w:p>
    <w:p w14:paraId="04F88292">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 供应商撤回电子响应文件，则认为其不再参与本项目投标活动。</w:t>
      </w:r>
    </w:p>
    <w:p w14:paraId="62991C2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响应文件的修改</w:t>
      </w:r>
    </w:p>
    <w:p w14:paraId="14DC9E2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供应商可在投标截止时间前，对其电子响应文件进行修改。</w:t>
      </w:r>
    </w:p>
    <w:p w14:paraId="1EC717D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在投标截止时间之后，供应商不得对其电子响应文件作任何修改。</w:t>
      </w:r>
    </w:p>
    <w:p w14:paraId="5B707AD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在投标截止时间至招标文件中规定的投标有效期满之间的这段时间内，供应商不得撤回其投标。</w:t>
      </w:r>
    </w:p>
    <w:p w14:paraId="2BDB6A71">
      <w:pPr>
        <w:pStyle w:val="71"/>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82" w:name="_Toc16938545"/>
      <w:bookmarkStart w:id="83" w:name="_Toc20823301"/>
      <w:bookmarkStart w:id="84" w:name="_Toc120614218"/>
      <w:bookmarkStart w:id="85" w:name="_Toc513029229"/>
      <w:r>
        <w:rPr>
          <w:rFonts w:hint="eastAsia" w:ascii="宋体" w:hAnsi="宋体" w:eastAsia="宋体" w:cs="宋体"/>
          <w:color w:val="auto"/>
          <w:sz w:val="24"/>
          <w:szCs w:val="24"/>
          <w:highlight w:val="none"/>
        </w:rPr>
        <w:t>（五）</w:t>
      </w:r>
      <w:bookmarkEnd w:id="82"/>
      <w:bookmarkEnd w:id="83"/>
      <w:bookmarkEnd w:id="84"/>
      <w:bookmarkEnd w:id="85"/>
      <w:bookmarkStart w:id="86" w:name="_Toc16938546"/>
      <w:bookmarkStart w:id="87" w:name="_Toc20823302"/>
      <w:bookmarkStart w:id="88" w:name="_Toc513029230"/>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与评审</w:t>
      </w:r>
    </w:p>
    <w:p w14:paraId="1E0B37C0">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仪式</w:t>
      </w:r>
    </w:p>
    <w:p w14:paraId="7FC0E14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采购人或采购代理机构将在招标公告中规定的时间和地点组织开标。</w:t>
      </w:r>
    </w:p>
    <w:p w14:paraId="3E09BF62">
      <w:pPr>
        <w:keepNext w:val="0"/>
        <w:keepLines w:val="0"/>
        <w:pageBreakBefore w:val="0"/>
        <w:widowControl w:val="0"/>
        <w:shd w:val="clear" w:color="auto" w:fill="FFFFFF"/>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标当天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7A97952">
      <w:pPr>
        <w:spacing w:line="360" w:lineRule="auto"/>
        <w:ind w:firstLine="480"/>
        <w:rPr>
          <w:rFonts w:ascii="宋体" w:hAnsi="宋体"/>
          <w:b/>
          <w:color w:val="auto"/>
          <w:sz w:val="24"/>
          <w:highlight w:val="none"/>
        </w:rPr>
      </w:pPr>
      <w:r>
        <w:rPr>
          <w:rFonts w:ascii="宋体" w:hAnsi="宋体"/>
          <w:bCs/>
          <w:color w:val="auto"/>
          <w:sz w:val="24"/>
          <w:highlight w:val="none"/>
        </w:rPr>
        <w:t>1.2</w:t>
      </w:r>
      <w:r>
        <w:rPr>
          <w:rFonts w:hint="eastAsia" w:ascii="宋体" w:hAnsi="宋体"/>
          <w:bCs/>
          <w:color w:val="auto"/>
          <w:sz w:val="24"/>
          <w:highlight w:val="none"/>
        </w:rPr>
        <w:t>谈判活动由采购代理机构组织。</w:t>
      </w:r>
    </w:p>
    <w:p w14:paraId="383B07CA">
      <w:pPr>
        <w:spacing w:line="360" w:lineRule="auto"/>
        <w:ind w:firstLine="482"/>
        <w:rPr>
          <w:rFonts w:ascii="宋体" w:hAnsi="宋体"/>
          <w:color w:val="auto"/>
          <w:sz w:val="24"/>
          <w:highlight w:val="none"/>
        </w:rPr>
      </w:pPr>
      <w:r>
        <w:rPr>
          <w:rFonts w:hint="eastAsia" w:ascii="宋体" w:hAnsi="宋体" w:eastAsia="宋体" w:cs="宋体"/>
          <w:b/>
          <w:color w:val="auto"/>
          <w:sz w:val="24"/>
          <w:szCs w:val="24"/>
          <w:highlight w:val="none"/>
          <w:lang w:val="en-US" w:eastAsia="en-US"/>
        </w:rPr>
        <w:t>注：各供应商请关注开标大厅交流区，在开标结束后，请勿离开开标大厅，采购</w:t>
      </w:r>
      <w:r>
        <w:rPr>
          <w:rFonts w:hint="eastAsia" w:ascii="宋体" w:hAnsi="宋体" w:eastAsia="宋体" w:cs="宋体"/>
          <w:b/>
          <w:color w:val="auto"/>
          <w:sz w:val="24"/>
          <w:szCs w:val="24"/>
          <w:highlight w:val="none"/>
          <w:lang w:val="en-US" w:eastAsia="zh-CN"/>
        </w:rPr>
        <w:t>单位</w:t>
      </w:r>
      <w:r>
        <w:rPr>
          <w:rFonts w:hint="eastAsia" w:ascii="宋体" w:hAnsi="宋体" w:eastAsia="宋体" w:cs="宋体"/>
          <w:b/>
          <w:color w:val="auto"/>
          <w:sz w:val="24"/>
          <w:szCs w:val="24"/>
          <w:highlight w:val="none"/>
          <w:lang w:val="en-US" w:eastAsia="en-US"/>
        </w:rPr>
        <w:t>或采购代理机构通知最后报价填报后，所有的响应供应商须在</w:t>
      </w:r>
      <w:r>
        <w:rPr>
          <w:rFonts w:hint="eastAsia" w:ascii="宋体" w:hAnsi="宋体" w:cs="宋体"/>
          <w:b/>
          <w:color w:val="auto"/>
          <w:sz w:val="24"/>
          <w:szCs w:val="24"/>
          <w:highlight w:val="none"/>
          <w:u w:val="single"/>
          <w:lang w:val="en-US" w:eastAsia="zh-CN"/>
        </w:rPr>
        <w:t>20</w:t>
      </w:r>
      <w:r>
        <w:rPr>
          <w:rFonts w:hint="eastAsia" w:ascii="宋体" w:hAnsi="宋体" w:eastAsia="宋体" w:cs="宋体"/>
          <w:b/>
          <w:color w:val="auto"/>
          <w:sz w:val="24"/>
          <w:szCs w:val="24"/>
          <w:highlight w:val="none"/>
          <w:u w:val="single"/>
          <w:lang w:val="en-US" w:eastAsia="en-US"/>
        </w:rPr>
        <w:t>分钟</w:t>
      </w:r>
      <w:r>
        <w:rPr>
          <w:rFonts w:hint="eastAsia" w:ascii="宋体" w:hAnsi="宋体" w:eastAsia="宋体" w:cs="宋体"/>
          <w:b/>
          <w:color w:val="auto"/>
          <w:sz w:val="24"/>
          <w:szCs w:val="24"/>
          <w:highlight w:val="none"/>
          <w:lang w:val="en-US" w:eastAsia="en-US"/>
        </w:rPr>
        <w:t>内填写并提交最后报价，未在规定时间内提交最后报价的，视作无效响应处理。</w:t>
      </w:r>
    </w:p>
    <w:p w14:paraId="6DF5BD07">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w:t>
      </w:r>
    </w:p>
    <w:p w14:paraId="6786A8F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开始仪式结束后，采购代理机构将立即组织</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小组进行评审。</w:t>
      </w:r>
    </w:p>
    <w:p w14:paraId="695B3B0F">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小组由采购人代表和评审专家共3人以上单数组成，其中评审专家人数不得少于</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小组成员总数的2/3。采购人不得以评审专家身份参加本部门或本单位采购项目的评审。本代理机构人员不得参加本机构代理的采购项目的评审。</w:t>
      </w:r>
    </w:p>
    <w:p w14:paraId="23276ABC">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超过公开招标限额标准的项目，</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小组应当由5人以上单数组成。</w:t>
      </w:r>
    </w:p>
    <w:p w14:paraId="7ACC42EE">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限额以上项目采用</w:t>
      </w:r>
      <w:r>
        <w:rPr>
          <w:rFonts w:hint="eastAsia" w:ascii="宋体" w:hAnsi="宋体" w:cs="宋体"/>
          <w:color w:val="auto"/>
          <w:sz w:val="24"/>
          <w:szCs w:val="24"/>
          <w:highlight w:val="none"/>
          <w:lang w:eastAsia="zh-CN"/>
        </w:rPr>
        <w:t>竞争性谈判</w:t>
      </w:r>
      <w:r>
        <w:rPr>
          <w:rFonts w:hint="eastAsia" w:ascii="宋体" w:hAnsi="宋体" w:eastAsia="宋体" w:cs="宋体"/>
          <w:color w:val="auto"/>
          <w:sz w:val="24"/>
          <w:szCs w:val="24"/>
          <w:highlight w:val="none"/>
        </w:rPr>
        <w:t>的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w:t>
      </w:r>
      <w:r>
        <w:rPr>
          <w:rFonts w:hint="eastAsia" w:ascii="宋体" w:hAnsi="宋体" w:cs="宋体"/>
          <w:color w:val="auto"/>
          <w:sz w:val="24"/>
          <w:szCs w:val="24"/>
          <w:highlight w:val="none"/>
          <w:lang w:eastAsia="zh-CN"/>
        </w:rPr>
        <w:t>竞争性谈判</w:t>
      </w:r>
      <w:r>
        <w:rPr>
          <w:rFonts w:hint="eastAsia" w:ascii="宋体" w:hAnsi="宋体" w:eastAsia="宋体" w:cs="宋体"/>
          <w:color w:val="auto"/>
          <w:sz w:val="24"/>
          <w:szCs w:val="24"/>
          <w:highlight w:val="none"/>
        </w:rPr>
        <w:t>采购项目，评审专家中应当包含1名法律专家。</w:t>
      </w:r>
    </w:p>
    <w:p w14:paraId="079054E4">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小组独立工作，负责评审所有响应文件并确定成交侯选人。</w:t>
      </w:r>
    </w:p>
    <w:p w14:paraId="01B45C7E">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评审过程的保密与公正</w:t>
      </w:r>
    </w:p>
    <w:p w14:paraId="2CA8692F">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小组、采购人和采购代理机构工作人员、相关监督人员等与评审工作有关的人员，对评审情况以及在评审过程中获悉的国家秘密、商业秘密负有保密责任。</w:t>
      </w:r>
    </w:p>
    <w:p w14:paraId="68AAD82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在</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评审过程中，</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供应商不得以任何行为影响</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评审过程，否则其响应文件将被作为无效响应文件。</w:t>
      </w:r>
    </w:p>
    <w:p w14:paraId="544DCA1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小组成员应当按照客观、公正、审慎的原则，根据</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文件规定的评审程序、评审方法和评审标准进行独立评审。未实质性响应</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文件的响应文件按无效响应处理，</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小组应当告知提交响应文件的供应商。</w:t>
      </w:r>
    </w:p>
    <w:p w14:paraId="4BEC63A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评审开始后，直至向成交供应商授予合同时止，凡是与审查、澄清、评价和比较响应的有关资料以及授标建议等，采购人、</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小组、采购代理机构均不得向供应商或与评标无关的其他人员透露。</w:t>
      </w:r>
    </w:p>
    <w:p w14:paraId="297D3B78">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在评审期间，采购代理机构将设专门人员与供应商联系。</w:t>
      </w:r>
    </w:p>
    <w:p w14:paraId="6B016F99">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采购代理机构和评审小组不向未成交的供应商解释未成交原因，也不公布评审过程中的相关细节。</w:t>
      </w:r>
    </w:p>
    <w:p w14:paraId="71A43A65">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采用综合评分法的项目，公布评标结果时一并公布所有供应商的评审得分及排序情况。</w:t>
      </w:r>
    </w:p>
    <w:p w14:paraId="749FFE9E">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4、评审过程的澄清</w:t>
      </w:r>
    </w:p>
    <w:p w14:paraId="3785DF2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评审期间，为有助于对响应文件的审查、评价和比较，</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小组有权以电子函件形式要求响应人对其响应文件进行澄清，但并非对每个供应商都作澄清要求。</w:t>
      </w:r>
    </w:p>
    <w:p w14:paraId="617C5D85">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接到</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小组澄清要求的供应商应派人按</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小组规定的时间和格式在“苏采云”系统中做出澄清，澄清的内容作为响应文件的补充部分，但实质性的内容不得做任何更改。</w:t>
      </w:r>
    </w:p>
    <w:p w14:paraId="3BCBF6A4">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接到</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小组澄清要求的供应商如未按规定做出澄清，其风险由供应商自行承担。</w:t>
      </w:r>
    </w:p>
    <w:p w14:paraId="1450ECB0">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5、对响应文件的初审</w:t>
      </w:r>
    </w:p>
    <w:p w14:paraId="0AFE631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响应文件初审分为资格性审查和符合性审查。</w:t>
      </w:r>
    </w:p>
    <w:p w14:paraId="76807E60">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 资格性检查：由谈判小组依据法律法规和谈判文件的规定，对响应文件中的资格证明文件进行审查，以确定供应商是否具备参加谈判的资格。</w:t>
      </w:r>
    </w:p>
    <w:p w14:paraId="6A055DB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谈判小组在进行资格审查的同时，将在“信用中国”网站（www.creditchina.gov.cn）查询供应商的信用记录，以确定供应商是否具备谈判资格，查询结果留存并归档。</w:t>
      </w:r>
    </w:p>
    <w:p w14:paraId="6CFFF87E">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7889EF8">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 符合性审查：依据谈判文件的规定，由谈判小组从响应文件的有效性、完整性和对谈判文件的响应程度进行审查，以确定是否对谈判文件的实质性要求作出响应。</w:t>
      </w:r>
    </w:p>
    <w:p w14:paraId="2E60F39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5.1.3 未通过资格审查或符合性审查的供应商，谈判小组将在苏采云系统中告知未通过资格审查或符合性审查的原因，评审结束后，谈判小组将不再告知未通过资格审查或符合性审查的原因。</w:t>
      </w:r>
    </w:p>
    <w:p w14:paraId="28E901B8">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在详细评审之前，谈判小组将首先审查每份响应文件是否实质性响应了谈判文件的要求。实质性响应的响应文件应该是与谈判文件要求的条款、条件和规格相符，没有重大偏离或保留。</w:t>
      </w:r>
    </w:p>
    <w:p w14:paraId="17756F5F">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0DD10468">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如果响应文件实质上没有响应</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文件的要求，</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小组将予以拒绝，供应商不得通过修改或撤销不合要求的偏离或保留而使其响应文件成为实质性响应的文件。</w:t>
      </w:r>
    </w:p>
    <w:p w14:paraId="3D33CB5C">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小组将对确定为实质性响应的文件进行进一步审核，看其是否有计算上或累加上的算术错误，修正错误的原则如下：</w:t>
      </w:r>
    </w:p>
    <w:p w14:paraId="3F90F3E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（1）响应文件中报价总表内容与响应文件中相应内容不一致的，以开标一览表为准。</w:t>
      </w:r>
    </w:p>
    <w:p w14:paraId="46C73AE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27B5AEE2">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43B3BCD0">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2691FAF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3AEAE99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小组将按上述修正错误的方法调整响应文件中的报价，并告知供应商，调整后的价格应对供应商具有约束力。如果供应商不接受修正后的价格，则其</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活动将被拒绝。</w:t>
      </w:r>
    </w:p>
    <w:p w14:paraId="1404E2D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小组将允许修正响应文件中不构成重大偏离的、微小的、非正规的、不一致的或不规则的地方，但这些修改不能影响任何供应商相应的名次排列。</w:t>
      </w:r>
    </w:p>
    <w:p w14:paraId="14C6DF50">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 同一项目（项目未分包）或同一分包（项目有不同分包），如出现同一品牌同一型号的产品有多个供应商参加</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中在其他条件合格的前提下，选取首次报价最低的供应商参加</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最后报价，其他供应商作为无效响应处理。</w:t>
      </w:r>
    </w:p>
    <w:p w14:paraId="38ACC778">
      <w:pPr>
        <w:keepNext w:val="0"/>
        <w:keepLines w:val="0"/>
        <w:pageBreakBefore w:val="0"/>
        <w:widowControl w:val="0"/>
        <w:shd w:val="clear" w:color="auto" w:fill="FFFFFF"/>
        <w:spacing w:line="360" w:lineRule="auto"/>
        <w:ind w:firstLine="480"/>
        <w:jc w:val="left"/>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5.8 提供相同品牌产品且通过资格审查、符合性审查的不同供应商参加同一合同项下</w:t>
      </w:r>
      <w:r>
        <w:rPr>
          <w:rFonts w:hint="eastAsia" w:ascii="宋体" w:hAnsi="宋体" w:cs="宋体"/>
          <w:strike w:val="0"/>
          <w:dstrike w:val="0"/>
          <w:color w:val="auto"/>
          <w:sz w:val="24"/>
          <w:szCs w:val="24"/>
          <w:highlight w:val="none"/>
          <w:lang w:eastAsia="zh-CN"/>
        </w:rPr>
        <w:t>谈判</w:t>
      </w:r>
      <w:r>
        <w:rPr>
          <w:rFonts w:hint="eastAsia" w:ascii="宋体" w:hAnsi="宋体" w:eastAsia="宋体" w:cs="宋体"/>
          <w:strike w:val="0"/>
          <w:dstrike w:val="0"/>
          <w:color w:val="auto"/>
          <w:sz w:val="24"/>
          <w:szCs w:val="24"/>
          <w:highlight w:val="none"/>
        </w:rPr>
        <w:t>的，按一家供应商计算，评审后得分最高的同品牌供应商获得成交人推荐资格；评审得分相同的，由</w:t>
      </w:r>
      <w:r>
        <w:rPr>
          <w:rFonts w:hint="eastAsia" w:ascii="宋体" w:hAnsi="宋体" w:cs="宋体"/>
          <w:strike w:val="0"/>
          <w:dstrike w:val="0"/>
          <w:color w:val="auto"/>
          <w:sz w:val="24"/>
          <w:szCs w:val="24"/>
          <w:highlight w:val="none"/>
          <w:lang w:eastAsia="zh-CN"/>
        </w:rPr>
        <w:t>谈判</w:t>
      </w:r>
      <w:r>
        <w:rPr>
          <w:rFonts w:hint="eastAsia" w:ascii="宋体" w:hAnsi="宋体" w:eastAsia="宋体" w:cs="宋体"/>
          <w:strike w:val="0"/>
          <w:dstrike w:val="0"/>
          <w:color w:val="auto"/>
          <w:sz w:val="24"/>
          <w:szCs w:val="24"/>
          <w:highlight w:val="none"/>
        </w:rPr>
        <w:t>小组采取随机抽取的方式确定一个成交候选人，其他同品牌供应商不作为成交候选人。</w:t>
      </w:r>
    </w:p>
    <w:p w14:paraId="4917E2FD">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文件中将载明其中的核心产品。多家供应商提供的核心产品品牌相同的，按前款规定处理。</w:t>
      </w:r>
    </w:p>
    <w:p w14:paraId="11ECC31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5.9 供应商在评审全过程中应保持通讯畅通，并安排专人与采购代理机构及</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小组联系。</w:t>
      </w:r>
    </w:p>
    <w:p w14:paraId="7FD3AE6A">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6、被认定为未实质性响应</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文件的响应文件的情形。</w:t>
      </w:r>
    </w:p>
    <w:p w14:paraId="748B03AE">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出现下列情形之一的，作无效响应处理。</w:t>
      </w:r>
    </w:p>
    <w:p w14:paraId="3E36EF8E">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供应商在规定的时间内未成功解密电子响应文件的。</w:t>
      </w:r>
    </w:p>
    <w:p w14:paraId="4A07A62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 供应商未按照招标文件要求上传电子响应文件的。</w:t>
      </w:r>
    </w:p>
    <w:p w14:paraId="1296AF2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 同一供应商提交两个（含两个）以上不同的响应报价的。</w:t>
      </w:r>
    </w:p>
    <w:p w14:paraId="46D1F9F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 不具备</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文件中规定的资格要求的。</w:t>
      </w:r>
    </w:p>
    <w:p w14:paraId="175D221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 响应报价超过了采购预算或最高（单价）限价的。</w:t>
      </w:r>
    </w:p>
    <w:p w14:paraId="0A3D3938">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 未通过符合性检查的。</w:t>
      </w:r>
    </w:p>
    <w:p w14:paraId="1412582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6.1.7 不符合法律、法规和</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文件中规定的其他实质性要求的。</w:t>
      </w:r>
    </w:p>
    <w:p w14:paraId="1CC75FE0">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FE793BA">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6.1.9 响应文件含有采购人不能接受的附加条件的。</w:t>
      </w:r>
    </w:p>
    <w:p w14:paraId="5E980B09">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6.1.10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小组认为供应商的报价明显低于其他通过符合性审查供应商的报价，有可能影响产品质量或者不能诚信履约的，将要求其在合理的时间内提供说明，必要时提交相关证明材料；供应商不能证明其报价合理性的，</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小组应当将其作为无效响应处理。</w:t>
      </w:r>
    </w:p>
    <w:p w14:paraId="642032AA">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6.1.11 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p>
    <w:p w14:paraId="1D136AA5">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6.1.12 响应文件未按照招标文件要求加盖电子签章。</w:t>
      </w:r>
    </w:p>
    <w:p w14:paraId="2E54EA32">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6.1.13 不同的供应商响应文件制作机器码、文件创建标识码一致的。</w:t>
      </w:r>
    </w:p>
    <w:p w14:paraId="5263C026">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6.1.14 供应商的商务技术部分得分相差悬殊，评标委员会认为得分畸低者没有实质性响应的。</w:t>
      </w:r>
    </w:p>
    <w:p w14:paraId="598602D7">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6.1.15 其他法律、法规及本</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文件规定的属无效响应的情形。</w:t>
      </w:r>
    </w:p>
    <w:p w14:paraId="76D0241A">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出现下列情形之一的，</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失败。</w:t>
      </w:r>
    </w:p>
    <w:p w14:paraId="10E149F6">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6.2.1 符合条件的供应商或者对</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文件作实质响应的供应商不足3家的（市场竞争不充分的科研项目，以及需要扶持的科技成果转化项目可以是2家）；</w:t>
      </w:r>
    </w:p>
    <w:p w14:paraId="54054EF1">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6.2.2 出现影响采购公正的违法违规行为的；</w:t>
      </w:r>
    </w:p>
    <w:p w14:paraId="6598F2C4">
      <w:pPr>
        <w:keepNext w:val="0"/>
        <w:keepLines w:val="0"/>
        <w:pageBreakBefore w:val="0"/>
        <w:widowControl w:val="0"/>
        <w:shd w:val="clear" w:color="auto" w:fill="FFFFFF"/>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6.2.3 因重大变故，采购任务取消的。</w:t>
      </w:r>
    </w:p>
    <w:p w14:paraId="09E2F08F">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小组认定</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文件存在歧义、重大缺陷导致评审工作无法进行。</w:t>
      </w:r>
    </w:p>
    <w:p w14:paraId="58B83D4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响应文件提交截止时间结束后参加</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的供应商不足三家的处理：</w:t>
      </w:r>
    </w:p>
    <w:p w14:paraId="4D81CE1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6.3.1 如出现响应文件提交截止时间结束后参加</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的供应商或者在评审期间对</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文件做出实质响应的供应商不足三家情况，按政府采购相关规定执行。</w:t>
      </w:r>
    </w:p>
    <w:p w14:paraId="0A1BE78F">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响应文件线上格式要求</w:t>
      </w:r>
    </w:p>
    <w:p w14:paraId="7016CF1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7.1供应商应当通过“苏采云”系统提交数据电文形式的响应文件（即电子投标）。</w:t>
      </w:r>
    </w:p>
    <w:p w14:paraId="62770B3C">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通过“苏采云”系统提交政府采购客户端工具导出加密的响应文件（后缀名为zip）。响应文件不得超过150M。</w:t>
      </w:r>
    </w:p>
    <w:p w14:paraId="3CE93202">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本项目采用线上投标，即供应商的响应文件从政府采购客户端工具制作通过“苏采云”系统提交，未提供线上响应文件的，投标无效。</w:t>
      </w:r>
      <w:bookmarkEnd w:id="86"/>
      <w:bookmarkEnd w:id="87"/>
      <w:bookmarkEnd w:id="88"/>
    </w:p>
    <w:p w14:paraId="29228B51">
      <w:pPr>
        <w:pStyle w:val="71"/>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89" w:name="_Toc120614219"/>
      <w:r>
        <w:rPr>
          <w:rFonts w:hint="eastAsia" w:ascii="宋体" w:hAnsi="宋体" w:eastAsia="宋体" w:cs="宋体"/>
          <w:color w:val="auto"/>
          <w:sz w:val="24"/>
          <w:szCs w:val="24"/>
          <w:highlight w:val="none"/>
        </w:rPr>
        <w:t>（六）</w:t>
      </w:r>
      <w:bookmarkEnd w:id="89"/>
      <w:r>
        <w:rPr>
          <w:rFonts w:hint="eastAsia" w:ascii="宋体" w:hAnsi="宋体" w:eastAsia="宋体" w:cs="宋体"/>
          <w:color w:val="auto"/>
          <w:sz w:val="24"/>
          <w:szCs w:val="24"/>
          <w:highlight w:val="none"/>
        </w:rPr>
        <w:t>成交</w:t>
      </w:r>
    </w:p>
    <w:p w14:paraId="5B5FE868">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90" w:name="_Toc16938554"/>
      <w:bookmarkStart w:id="91" w:name="_Toc20823310"/>
      <w:r>
        <w:rPr>
          <w:rFonts w:hint="eastAsia" w:ascii="宋体" w:hAnsi="宋体" w:eastAsia="宋体" w:cs="宋体"/>
          <w:color w:val="auto"/>
          <w:sz w:val="24"/>
          <w:szCs w:val="24"/>
          <w:highlight w:val="none"/>
        </w:rPr>
        <w:t>1、确定</w:t>
      </w:r>
      <w:bookmarkEnd w:id="90"/>
      <w:bookmarkEnd w:id="91"/>
      <w:r>
        <w:rPr>
          <w:rFonts w:hint="eastAsia" w:ascii="宋体" w:hAnsi="宋体" w:eastAsia="宋体" w:cs="宋体"/>
          <w:color w:val="auto"/>
          <w:sz w:val="24"/>
          <w:szCs w:val="24"/>
          <w:highlight w:val="none"/>
        </w:rPr>
        <w:t>成交单位</w:t>
      </w:r>
    </w:p>
    <w:p w14:paraId="2E14C129">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成交候选供应商的选取原则和数量见</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文件第四部分规定。</w:t>
      </w:r>
    </w:p>
    <w:p w14:paraId="7F6CD604">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采购人授权</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小组在成交候选供应商中直接确定成交供应商。</w:t>
      </w:r>
    </w:p>
    <w:p w14:paraId="675578E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采购代理机构将在指定媒体上发布成交结果公告，公告期限为1个工作日。</w:t>
      </w:r>
    </w:p>
    <w:p w14:paraId="11FE51E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若有充分证据证明，成交供应商出现下列情况之一的，一经查实，将被取消成交资格：</w:t>
      </w:r>
    </w:p>
    <w:p w14:paraId="428E702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提供虚假材料谋取成交的。</w:t>
      </w:r>
    </w:p>
    <w:p w14:paraId="793AD76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向采购人、采购代理机构行贿或者评审专家提供其他不正当利益的。</w:t>
      </w:r>
    </w:p>
    <w:p w14:paraId="1BA94DC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恶意竞争，最终总报价明显低于其自身合理成本且又无法提供证明的。</w:t>
      </w:r>
    </w:p>
    <w:p w14:paraId="42B708C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属于本文件规定的无效条件，但在评审过程中又未被</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小组发现的。</w:t>
      </w:r>
    </w:p>
    <w:p w14:paraId="1463C47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 与采购人或者其他供应商恶意串通的。</w:t>
      </w:r>
    </w:p>
    <w:p w14:paraId="24CB21A5">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1.4.6 采取不正当手段诋毁、排挤其他供应商的。</w:t>
      </w:r>
    </w:p>
    <w:p w14:paraId="5A22853F">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bookmarkStart w:id="92" w:name="_Toc200451960"/>
      <w:r>
        <w:rPr>
          <w:rFonts w:hint="eastAsia" w:ascii="宋体" w:hAnsi="宋体" w:eastAsia="宋体" w:cs="宋体"/>
          <w:color w:val="auto"/>
          <w:sz w:val="24"/>
          <w:szCs w:val="24"/>
          <w:highlight w:val="none"/>
        </w:rPr>
        <w:t>1.5 有下列情形之一的，视为供应商串通参与</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，响应无效：</w:t>
      </w:r>
    </w:p>
    <w:p w14:paraId="3BA1450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不同供应商的响应文件由同一单位或者个人编制；</w:t>
      </w:r>
    </w:p>
    <w:p w14:paraId="345FF832">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不同供应商委托同一单位或者个人办理</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事宜；</w:t>
      </w:r>
    </w:p>
    <w:p w14:paraId="3573E939">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不同供应商的响应文件载明的项目管理成员或者联系人员为同一人；</w:t>
      </w:r>
    </w:p>
    <w:p w14:paraId="6A57CD5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 不同供应商的响应文件异常一致或者响应报价呈规律性差异。</w:t>
      </w:r>
    </w:p>
    <w:p w14:paraId="4B77F651">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2、质疑处理</w:t>
      </w:r>
      <w:bookmarkEnd w:id="92"/>
    </w:p>
    <w:p w14:paraId="6063A59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提出质疑的供应商应当是参与所质疑项目采购活动的供应商。潜在供应商依法获取其可质疑的</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文件的，可以对</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文件提出质疑。</w:t>
      </w:r>
    </w:p>
    <w:p w14:paraId="099B5663">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供应商认为</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文件、采购过程和采购结果使自己的权益受到损害的，可以在知道或应知其权益受到损害之日起七个工作日内，以书面形式向采购代理机构或采购人提出质疑。上述应知其权益受到损害之日，是指：</w:t>
      </w:r>
    </w:p>
    <w:p w14:paraId="5CB6D0F4">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对可以质疑的</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文件提出质疑的，为收到</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文件之日或者</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文件公告期限届满之日；</w:t>
      </w:r>
    </w:p>
    <w:p w14:paraId="6D6BE804">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对采购过程提出质疑的，为各采购程序环节结束之日；</w:t>
      </w:r>
    </w:p>
    <w:p w14:paraId="7A610D54">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对成交结果提出质疑的，为成交结果公告期限届满之日。</w:t>
      </w:r>
    </w:p>
    <w:p w14:paraId="609AB36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w:t>
      </w:r>
    </w:p>
    <w:p w14:paraId="756E8A0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质疑函必须按照本</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文件中《质疑函范本》要求的格式和内容进行填写。供应商如组成联合体参加</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，则《质疑函范本》中要求签字、盖章、加盖公章之处，联合体各方均须按要求签字、盖章、加盖公章。</w:t>
      </w:r>
    </w:p>
    <w:p w14:paraId="592D78F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对采购方式、</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中项目需求、供应商资格条件、评审方法和评审标准、资格审查结果等应当由采购人答复的质疑，请向采购人提出，由采购人负责答复。供应商对其他事项的质疑，请向采购代理机构提出，由采购代理机构负责答复。</w:t>
      </w:r>
    </w:p>
    <w:p w14:paraId="5519450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采购人质疑接收人及联系方式，见</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文件第一部分。</w:t>
      </w:r>
    </w:p>
    <w:p w14:paraId="015220A4">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以下情形的质疑不予受理</w:t>
      </w:r>
    </w:p>
    <w:p w14:paraId="06923E1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内容不符合《政府采购质疑和投诉办法》第十二条规定的质疑。</w:t>
      </w:r>
    </w:p>
    <w:p w14:paraId="01C98047">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超出政府采购法定期限的质疑。</w:t>
      </w:r>
    </w:p>
    <w:p w14:paraId="587A56D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未参加</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活动的供应商或在</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活动中自身权益未受到损害的供应商所提出的质疑。</w:t>
      </w:r>
    </w:p>
    <w:p w14:paraId="6C815782">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 供应商组成联合体参加</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，联合体中任何一方或多方未按要求签字、盖章、加盖公章的质疑。</w:t>
      </w:r>
    </w:p>
    <w:p w14:paraId="1AE7916E">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9D2D941">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3、成交通知书</w:t>
      </w:r>
    </w:p>
    <w:p w14:paraId="1983BC3B">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3.l 成交结果确定后，采购代理机构将向成交供应商发出成交通知书。</w:t>
      </w:r>
    </w:p>
    <w:p w14:paraId="28948CBA">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成交通知书将是合同的一个组成部分。对采购人和成交供应商均具有法律效力。成交通知书发出后，采购人改变成交结果的，或者成交供应商放弃</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项目的，应当依法承担法律责任。</w:t>
      </w:r>
    </w:p>
    <w:p w14:paraId="4C356DE4">
      <w:pPr>
        <w:pStyle w:val="71"/>
        <w:keepNext w:val="0"/>
        <w:keepLines w:val="0"/>
        <w:pageBreakBefore w:val="0"/>
        <w:widowControl w:val="0"/>
        <w:spacing w:before="0" w:after="0" w:line="360" w:lineRule="auto"/>
        <w:rPr>
          <w:rFonts w:hint="eastAsia" w:ascii="宋体" w:hAnsi="宋体" w:eastAsia="宋体" w:cs="宋体"/>
          <w:color w:val="auto"/>
          <w:sz w:val="24"/>
          <w:szCs w:val="24"/>
          <w:highlight w:val="none"/>
        </w:rPr>
      </w:pPr>
      <w:bookmarkStart w:id="93" w:name="_Toc513029236"/>
      <w:bookmarkStart w:id="94" w:name="_Toc16938552"/>
      <w:bookmarkStart w:id="95" w:name="_Toc120614220"/>
      <w:bookmarkStart w:id="96" w:name="_Toc20823308"/>
      <w:r>
        <w:rPr>
          <w:rFonts w:hint="eastAsia" w:ascii="宋体" w:hAnsi="宋体" w:eastAsia="宋体" w:cs="宋体"/>
          <w:color w:val="auto"/>
          <w:sz w:val="24"/>
          <w:szCs w:val="24"/>
          <w:highlight w:val="none"/>
        </w:rPr>
        <w:t>（七）授予合同</w:t>
      </w:r>
      <w:bookmarkEnd w:id="93"/>
      <w:bookmarkEnd w:id="94"/>
      <w:bookmarkEnd w:id="95"/>
      <w:bookmarkEnd w:id="96"/>
    </w:p>
    <w:p w14:paraId="69A0A1A0">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1、签订合同</w:t>
      </w:r>
    </w:p>
    <w:p w14:paraId="26152D18">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1.l 成交供应商应当在成交通知书发出之日起三十日内，按照</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文件确定的事项与采购人签订政府采购合同。</w:t>
      </w:r>
    </w:p>
    <w:p w14:paraId="1B13A1E0">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文件、成交供应商的响应文件及</w:t>
      </w:r>
      <w:r>
        <w:rPr>
          <w:rFonts w:hint="eastAsia" w:ascii="宋体" w:hAnsi="宋体" w:cs="宋体"/>
          <w:color w:val="auto"/>
          <w:sz w:val="24"/>
          <w:szCs w:val="24"/>
          <w:highlight w:val="none"/>
          <w:lang w:eastAsia="zh-CN"/>
        </w:rPr>
        <w:t>谈判</w:t>
      </w:r>
      <w:r>
        <w:rPr>
          <w:rFonts w:hint="eastAsia" w:ascii="宋体" w:hAnsi="宋体" w:eastAsia="宋体" w:cs="宋体"/>
          <w:color w:val="auto"/>
          <w:sz w:val="24"/>
          <w:szCs w:val="24"/>
          <w:highlight w:val="none"/>
        </w:rPr>
        <w:t>过程中有关澄清、承诺文件均应作为合同附件。</w:t>
      </w:r>
    </w:p>
    <w:p w14:paraId="09E1E736">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72346676">
      <w:pPr>
        <w:pStyle w:val="72"/>
        <w:keepNext w:val="0"/>
        <w:keepLines w:val="0"/>
        <w:pageBreakBefore w:val="0"/>
        <w:widowControl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2、货物和服务的追加、减少和添购。</w:t>
      </w:r>
    </w:p>
    <w:p w14:paraId="10BD52F0">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政府采购合同履行中，采购人需追加与合同标的相同的货物和服务的，在不改变合同其他条款的前提下，可以与成交供应商协商签订补充合同，但所有补充合同的采购金额不超过原合同金额10%。</w:t>
      </w:r>
    </w:p>
    <w:p w14:paraId="173A7D61">
      <w:pPr>
        <w:keepNext w:val="0"/>
        <w:keepLines w:val="0"/>
        <w:pageBreakBefore w:val="0"/>
        <w:widowControl w:val="0"/>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采购结束后，采购人若由于各种客观原因，必须对采购项目所牵涉的货物和服务进行适当的减少时，在双方协商一致的前提下，可以按照采购时的价格水平做相应的调减，并据此签订补充合同。</w:t>
      </w:r>
    </w:p>
    <w:p w14:paraId="072EC74E">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履约保证金：</w:t>
      </w:r>
    </w:p>
    <w:p w14:paraId="69B7ED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3.1本项目中标后的履约保证金为合同价的5%（取整）</w:t>
      </w:r>
      <w:r>
        <w:rPr>
          <w:rFonts w:hint="eastAsia" w:ascii="宋体" w:hAnsi="宋体" w:eastAsia="宋体" w:cs="宋体"/>
          <w:color w:val="auto"/>
          <w:sz w:val="24"/>
          <w:szCs w:val="24"/>
          <w:highlight w:val="none"/>
          <w:lang w:eastAsia="zh-CN"/>
        </w:rPr>
        <w:t>，成交后</w:t>
      </w:r>
      <w:r>
        <w:rPr>
          <w:rFonts w:hint="eastAsia" w:ascii="宋体" w:hAnsi="宋体" w:eastAsia="宋体" w:cs="宋体"/>
          <w:color w:val="auto"/>
          <w:sz w:val="24"/>
          <w:szCs w:val="24"/>
          <w:highlight w:val="none"/>
          <w:lang w:val="en-US" w:eastAsia="zh-CN"/>
        </w:rPr>
        <w:t>5个工作日内递交，否则作自动放弃成交资格处理。</w:t>
      </w:r>
    </w:p>
    <w:p w14:paraId="591EFA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3.2中标人应当以数字人民币、支票、汇票或者金融机构、担保机构出具的保函等非现金形式提交。</w:t>
      </w:r>
    </w:p>
    <w:p w14:paraId="71E222A5">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w:t>
      </w:r>
      <w:r>
        <w:rPr>
          <w:rFonts w:hint="eastAsia" w:ascii="宋体" w:hAnsi="宋体" w:eastAsia="宋体" w:cs="Times New Roman"/>
          <w:color w:val="auto"/>
          <w:sz w:val="24"/>
          <w:szCs w:val="22"/>
          <w:highlight w:val="none"/>
        </w:rPr>
        <w:t>.3中标供应商在中标通知书发出之日起30日内，凭“中标通知书”和“履约保证金”的缴纳凭证，与采购人签订合同，超期或未有协商，则视为自动放弃中标资格。</w:t>
      </w:r>
    </w:p>
    <w:p w14:paraId="5F866DE1">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w:t>
      </w:r>
      <w:r>
        <w:rPr>
          <w:rFonts w:hint="eastAsia" w:ascii="宋体" w:hAnsi="宋体" w:eastAsia="宋体" w:cs="Times New Roman"/>
          <w:color w:val="auto"/>
          <w:sz w:val="24"/>
          <w:szCs w:val="22"/>
          <w:highlight w:val="none"/>
        </w:rPr>
        <w:t>.4中标供应商全部履约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11F66321">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w:t>
      </w:r>
      <w:r>
        <w:rPr>
          <w:rFonts w:hint="eastAsia" w:ascii="宋体" w:hAnsi="宋体" w:eastAsia="宋体" w:cs="Times New Roman"/>
          <w:color w:val="auto"/>
          <w:sz w:val="24"/>
          <w:szCs w:val="22"/>
          <w:highlight w:val="none"/>
        </w:rPr>
        <w:t>.5由于中标供应商原因，在签订合同后出现不按合同履行的情况，采购单位有权将履约保证金作为违约金，全额不予退还，同时采购单位亦有权终止合同，中标供应商还须承担相应的法律赔偿责任。</w:t>
      </w:r>
    </w:p>
    <w:p w14:paraId="46CE98D3">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w:t>
      </w:r>
      <w:r>
        <w:rPr>
          <w:rFonts w:hint="eastAsia" w:ascii="宋体" w:hAnsi="宋体" w:eastAsia="宋体" w:cs="Times New Roman"/>
          <w:color w:val="auto"/>
          <w:sz w:val="24"/>
          <w:szCs w:val="22"/>
          <w:highlight w:val="none"/>
        </w:rPr>
        <w:t>.6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49C70D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政府采购合同信用融资扶持政策</w:t>
      </w:r>
    </w:p>
    <w:p w14:paraId="77C4B71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根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p>
    <w:p w14:paraId="2E6DE6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根据《关于深入开展南通市政府采购线上合同信用融资业务的通知》（通财购〔2022〕68号），成交供应商可通过中征应收账款融资服务平台（简称“中征平台”）办理“政采贷”融资贷款，具体业务操作流程如下： </w:t>
      </w:r>
    </w:p>
    <w:p w14:paraId="25E465E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4.2.1确定融资意向。成交供应商取得成交通知书后，联系意向金融机构，商治融资事项，确定融资意向。</w:t>
      </w:r>
    </w:p>
    <w:p w14:paraId="0197F39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4.2.2签订采购合同。成交供应商与采购人签订政府采购合同时，应将自身融资需求告知采购人或其委托的采购代理机构，提醒 (或协助 ) 其当天在“苏采云”上传合同的同时将“供应商是否融资”选为“是”</w:t>
      </w:r>
    </w:p>
    <w:p w14:paraId="2E2909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4.2.3提交融资申请。成交供应商登录“中征平台”进行用户注册，查看“政采贷”融资产品，向确定合作的金融机构提交融资申请。</w:t>
      </w:r>
    </w:p>
    <w:p w14:paraId="327E176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4.2.4确认回款账户。金融机构填写需要锁定的回款账户信息后成交供应商应登录“中征平台”确认账户信息，以实现回款账户的锁定。</w:t>
      </w:r>
    </w:p>
    <w:p w14:paraId="57F2837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（九）电子招标投标交易平台</w:t>
      </w:r>
    </w:p>
    <w:p w14:paraId="7CA548F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"http://jszfcg.jsczt.cn/）相关要求是本采购文件的组成部分。"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en-US"/>
        </w:rPr>
        <w:t>http://jszfcg.jsczt.cn/）相关要求是本采购文件的组成部分。</w:t>
      </w:r>
      <w:r>
        <w:rPr>
          <w:rFonts w:hint="eastAsia" w:ascii="宋体" w:hAnsi="宋体" w:eastAsia="宋体" w:cs="宋体"/>
          <w:color w:val="auto"/>
          <w:sz w:val="24"/>
          <w:szCs w:val="24"/>
          <w:highlight w:val="none"/>
          <w:lang w:eastAsia="en-US"/>
        </w:rPr>
        <w:fldChar w:fldCharType="end"/>
      </w:r>
    </w:p>
    <w:p w14:paraId="20A38930">
      <w:pPr>
        <w:rPr>
          <w:rFonts w:hint="eastAsia" w:ascii="宋体" w:hAnsi="宋体" w:eastAsia="宋体" w:cs="宋体"/>
          <w:color w:val="auto"/>
          <w:sz w:val="32"/>
          <w:szCs w:val="32"/>
          <w:highlight w:val="none"/>
        </w:rPr>
      </w:pPr>
    </w:p>
    <w:p w14:paraId="5C6EE780">
      <w:pPr>
        <w:pStyle w:val="70"/>
        <w:spacing w:before="0" w:after="0"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第三部分 项目需求</w:t>
      </w:r>
    </w:p>
    <w:p w14:paraId="3CEEB53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项目属性:</w:t>
      </w:r>
      <w:r>
        <w:rPr>
          <w:rFonts w:hint="eastAsia" w:ascii="宋体" w:hAnsi="宋体" w:cs="宋体"/>
          <w:bCs/>
          <w:color w:val="auto"/>
          <w:sz w:val="24"/>
          <w:szCs w:val="24"/>
          <w:highlight w:val="none"/>
          <w:lang w:val="en-US" w:eastAsia="zh-CN"/>
        </w:rPr>
        <w:t>货物</w:t>
      </w:r>
      <w:r>
        <w:rPr>
          <w:rFonts w:hint="eastAsia" w:ascii="宋体" w:hAnsi="宋体" w:eastAsia="宋体" w:cs="宋体"/>
          <w:bCs/>
          <w:color w:val="auto"/>
          <w:sz w:val="24"/>
          <w:szCs w:val="24"/>
          <w:highlight w:val="none"/>
        </w:rPr>
        <w:t>类项目</w:t>
      </w:r>
    </w:p>
    <w:p w14:paraId="732B8FA1">
      <w:pPr>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一、采购标的清单</w:t>
      </w:r>
    </w:p>
    <w:tbl>
      <w:tblPr>
        <w:tblStyle w:val="33"/>
        <w:tblW w:w="0" w:type="auto"/>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1"/>
        <w:gridCol w:w="3058"/>
        <w:gridCol w:w="3635"/>
      </w:tblGrid>
      <w:tr w14:paraId="0356E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81" w:type="dxa"/>
            <w:noWrap w:val="0"/>
            <w:vAlign w:val="center"/>
          </w:tcPr>
          <w:p w14:paraId="5BA76100">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vertAlign w:val="baseline"/>
              </w:rPr>
            </w:pPr>
            <w:r>
              <w:rPr>
                <w:rFonts w:hint="eastAsia" w:ascii="宋体" w:hAnsi="宋体" w:eastAsia="宋体" w:cs="宋体"/>
                <w:b w:val="0"/>
                <w:color w:val="auto"/>
                <w:sz w:val="24"/>
                <w:szCs w:val="24"/>
                <w:highlight w:val="none"/>
              </w:rPr>
              <w:t>分包</w:t>
            </w:r>
          </w:p>
        </w:tc>
        <w:tc>
          <w:tcPr>
            <w:tcW w:w="3058" w:type="dxa"/>
            <w:noWrap w:val="0"/>
            <w:vAlign w:val="center"/>
          </w:tcPr>
          <w:p w14:paraId="4C05309B">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vertAlign w:val="baseline"/>
              </w:rPr>
            </w:pPr>
            <w:r>
              <w:rPr>
                <w:rFonts w:hint="eastAsia" w:ascii="宋体" w:hAnsi="宋体" w:eastAsia="宋体" w:cs="宋体"/>
                <w:b w:val="0"/>
                <w:color w:val="auto"/>
                <w:sz w:val="24"/>
                <w:szCs w:val="24"/>
                <w:highlight w:val="none"/>
              </w:rPr>
              <w:t>采购标的</w:t>
            </w:r>
          </w:p>
        </w:tc>
        <w:tc>
          <w:tcPr>
            <w:tcW w:w="3635" w:type="dxa"/>
            <w:noWrap w:val="0"/>
            <w:vAlign w:val="center"/>
          </w:tcPr>
          <w:p w14:paraId="7D04986D">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vertAlign w:val="baseline"/>
              </w:rPr>
            </w:pPr>
            <w:r>
              <w:rPr>
                <w:rFonts w:hint="eastAsia" w:ascii="宋体" w:hAnsi="宋体" w:eastAsia="宋体" w:cs="宋体"/>
                <w:b w:val="0"/>
                <w:color w:val="auto"/>
                <w:sz w:val="24"/>
                <w:szCs w:val="24"/>
                <w:highlight w:val="none"/>
              </w:rPr>
              <w:t>对应中小企业划分标准所属行业</w:t>
            </w:r>
          </w:p>
        </w:tc>
      </w:tr>
      <w:tr w14:paraId="1FD6D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1" w:type="dxa"/>
            <w:noWrap w:val="0"/>
            <w:vAlign w:val="center"/>
          </w:tcPr>
          <w:p w14:paraId="380C1AA9">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vertAlign w:val="baseline"/>
              </w:rPr>
            </w:pPr>
            <w:r>
              <w:rPr>
                <w:rFonts w:hint="eastAsia" w:ascii="宋体" w:hAnsi="宋体" w:eastAsia="宋体" w:cs="宋体"/>
                <w:b w:val="0"/>
                <w:color w:val="auto"/>
                <w:sz w:val="24"/>
                <w:szCs w:val="24"/>
                <w:highlight w:val="none"/>
              </w:rPr>
              <w:t>1</w:t>
            </w:r>
          </w:p>
        </w:tc>
        <w:tc>
          <w:tcPr>
            <w:tcW w:w="3058" w:type="dxa"/>
            <w:noWrap w:val="0"/>
            <w:vAlign w:val="center"/>
          </w:tcPr>
          <w:p w14:paraId="1A019D81">
            <w:pPr>
              <w:keepNext w:val="0"/>
              <w:keepLines w:val="0"/>
              <w:suppressLineNumbers w:val="0"/>
              <w:spacing w:before="0" w:beforeAutospacing="0" w:after="0" w:afterAutospacing="0" w:line="0" w:lineRule="atLeast"/>
              <w:ind w:left="0" w:right="0"/>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聚乙烯</w:t>
            </w:r>
          </w:p>
          <w:p w14:paraId="09511A7B">
            <w:pPr>
              <w:keepNext w:val="0"/>
              <w:keepLines w:val="0"/>
              <w:suppressLineNumbers w:val="0"/>
              <w:spacing w:before="0" w:beforeAutospacing="0" w:after="0" w:afterAutospacing="0" w:line="0" w:lineRule="atLeast"/>
              <w:ind w:left="0" w:right="0"/>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树脂白管 </w:t>
            </w:r>
          </w:p>
        </w:tc>
        <w:tc>
          <w:tcPr>
            <w:tcW w:w="3635" w:type="dxa"/>
            <w:noWrap w:val="0"/>
            <w:vAlign w:val="center"/>
          </w:tcPr>
          <w:p w14:paraId="21FBB2A4">
            <w:pPr>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vertAlign w:val="baseline"/>
              </w:rPr>
            </w:pPr>
            <w:r>
              <w:rPr>
                <w:rFonts w:hint="eastAsia" w:ascii="宋体" w:hAnsi="宋体" w:cs="宋体"/>
                <w:color w:val="auto"/>
                <w:sz w:val="24"/>
                <w:szCs w:val="24"/>
                <w:highlight w:val="none"/>
                <w:lang w:val="en-US" w:eastAsia="zh-CN"/>
              </w:rPr>
              <w:t>工业</w:t>
            </w:r>
          </w:p>
        </w:tc>
      </w:tr>
      <w:tr w14:paraId="4854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1" w:type="dxa"/>
            <w:noWrap w:val="0"/>
            <w:vAlign w:val="center"/>
          </w:tcPr>
          <w:p w14:paraId="454AA13F">
            <w:pPr>
              <w:keepNext w:val="0"/>
              <w:keepLines w:val="0"/>
              <w:suppressLineNumbers w:val="0"/>
              <w:spacing w:before="0" w:beforeAutospacing="0" w:after="0" w:afterAutospacing="0" w:line="0" w:lineRule="atLeast"/>
              <w:ind w:left="0" w:right="0"/>
              <w:jc w:val="center"/>
              <w:rPr>
                <w:rFonts w:hint="eastAsia" w:ascii="宋体" w:hAnsi="宋体" w:eastAsia="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2</w:t>
            </w:r>
          </w:p>
        </w:tc>
        <w:tc>
          <w:tcPr>
            <w:tcW w:w="3058" w:type="dxa"/>
            <w:noWrap w:val="0"/>
            <w:vAlign w:val="center"/>
          </w:tcPr>
          <w:p w14:paraId="08C58C52">
            <w:pPr>
              <w:keepNext w:val="0"/>
              <w:keepLines w:val="0"/>
              <w:suppressLineNumbers w:val="0"/>
              <w:spacing w:before="0" w:beforeAutospacing="0" w:after="0" w:afterAutospacing="0" w:line="0" w:lineRule="atLeast"/>
              <w:ind w:left="0" w:right="0"/>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聚乙烯树脂白管</w:t>
            </w:r>
          </w:p>
          <w:p w14:paraId="0F29A804">
            <w:pPr>
              <w:keepNext w:val="0"/>
              <w:keepLines w:val="0"/>
              <w:suppressLineNumbers w:val="0"/>
              <w:spacing w:before="0" w:beforeAutospacing="0" w:after="0" w:afterAutospacing="0" w:line="0" w:lineRule="atLeast"/>
              <w:ind w:left="0" w:right="0"/>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（非开挖施工用）</w:t>
            </w:r>
          </w:p>
        </w:tc>
        <w:tc>
          <w:tcPr>
            <w:tcW w:w="3635" w:type="dxa"/>
            <w:noWrap w:val="0"/>
            <w:vAlign w:val="center"/>
          </w:tcPr>
          <w:p w14:paraId="34374C76">
            <w:pPr>
              <w:keepNext w:val="0"/>
              <w:keepLines w:val="0"/>
              <w:suppressLineNumbers w:val="0"/>
              <w:spacing w:before="0" w:beforeAutospacing="0" w:after="0" w:afterAutospacing="0" w:line="0" w:lineRule="atLeast"/>
              <w:ind w:left="0" w:right="0"/>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工业</w:t>
            </w:r>
          </w:p>
        </w:tc>
      </w:tr>
    </w:tbl>
    <w:p w14:paraId="39464B5C">
      <w:pPr>
        <w:spacing w:before="120" w:after="1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二、技术要求</w:t>
      </w:r>
    </w:p>
    <w:p w14:paraId="1D8C39F8">
      <w:pPr>
        <w:spacing w:before="120" w:after="1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 xml:space="preserve">采购标的需实现的功能或者目标, 以及为落实政府采购政策需满足的采购标的需执行的国家相关标准、行业标准、地方标准或者其他标准、规范； </w:t>
      </w:r>
    </w:p>
    <w:p w14:paraId="1B42C025">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1、YD/T 841.2 地下通信管道用塑料管 第2部分:实壁管。</w:t>
      </w:r>
    </w:p>
    <w:p w14:paraId="1A90E0F8">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2、DLT 802.7 电力电缆用导管技术条件 </w:t>
      </w:r>
    </w:p>
    <w:p w14:paraId="11BEEDEB">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3、其他国家及江苏省现行标准规范等</w:t>
      </w:r>
    </w:p>
    <w:p w14:paraId="4337850D">
      <w:pPr>
        <w:spacing w:before="120" w:after="12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（二）采购标的需满足的质量、安全、技术规格、物理特性等要求；</w:t>
      </w:r>
    </w:p>
    <w:p w14:paraId="1F930548">
      <w:pPr>
        <w:spacing w:before="120" w:after="12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PE管</w:t>
      </w:r>
    </w:p>
    <w:p w14:paraId="06C3594B">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1、管材为聚乙烯树脂，颜色全新料本色，不允许填充及添加回料。</w:t>
      </w:r>
    </w:p>
    <w:p w14:paraId="50249D1D">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2、基本参数表</w:t>
      </w:r>
    </w:p>
    <w:p w14:paraId="054780F5">
      <w:pPr>
        <w:spacing w:before="120" w:after="120"/>
        <w:rPr>
          <w:rFonts w:hint="eastAsia" w:ascii="宋体" w:hAnsi="宋体" w:eastAsia="宋体" w:cs="宋体"/>
          <w:b/>
          <w:color w:val="auto"/>
          <w:sz w:val="24"/>
          <w:szCs w:val="24"/>
          <w:highlight w:val="none"/>
          <w:lang w:val="en-US" w:eastAsia="zh-CN"/>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4"/>
        <w:gridCol w:w="1508"/>
        <w:gridCol w:w="1645"/>
        <w:gridCol w:w="4568"/>
      </w:tblGrid>
      <w:tr w14:paraId="3931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504" w:type="dxa"/>
            <w:shd w:val="clear" w:color="auto" w:fill="47AD14"/>
            <w:vAlign w:val="center"/>
          </w:tcPr>
          <w:p w14:paraId="575176A1">
            <w:pPr>
              <w:widowControl/>
              <w:jc w:val="center"/>
              <w:rPr>
                <w:kern w:val="0"/>
                <w:szCs w:val="21"/>
                <w:highlight w:val="none"/>
                <w:lang w:val="zh-CN"/>
              </w:rPr>
            </w:pPr>
            <w:r>
              <w:rPr>
                <w:rFonts w:hint="eastAsia"/>
                <w:color w:val="FFFFFF"/>
                <w:kern w:val="0"/>
                <w:szCs w:val="21"/>
                <w:highlight w:val="none"/>
              </w:rPr>
              <w:t>直 径mm</w:t>
            </w:r>
          </w:p>
        </w:tc>
        <w:tc>
          <w:tcPr>
            <w:tcW w:w="1508" w:type="dxa"/>
            <w:shd w:val="clear" w:color="auto" w:fill="47AD14"/>
            <w:vAlign w:val="center"/>
          </w:tcPr>
          <w:p w14:paraId="31D964F7">
            <w:pPr>
              <w:widowControl/>
              <w:jc w:val="center"/>
              <w:rPr>
                <w:kern w:val="0"/>
                <w:szCs w:val="21"/>
                <w:highlight w:val="none"/>
                <w:lang w:val="zh-CN"/>
              </w:rPr>
            </w:pPr>
            <w:r>
              <w:rPr>
                <w:rFonts w:hint="eastAsia"/>
                <w:color w:val="FFFFFF"/>
                <w:kern w:val="0"/>
                <w:szCs w:val="21"/>
                <w:highlight w:val="none"/>
              </w:rPr>
              <w:t>长 度(m)</w:t>
            </w:r>
          </w:p>
        </w:tc>
        <w:tc>
          <w:tcPr>
            <w:tcW w:w="1645" w:type="dxa"/>
            <w:shd w:val="clear" w:color="auto" w:fill="47AD14"/>
            <w:vAlign w:val="center"/>
          </w:tcPr>
          <w:p w14:paraId="36B5E3FF">
            <w:pPr>
              <w:widowControl/>
              <w:jc w:val="center"/>
              <w:rPr>
                <w:kern w:val="0"/>
                <w:szCs w:val="21"/>
                <w:highlight w:val="none"/>
                <w:lang w:val="zh-CN"/>
              </w:rPr>
            </w:pPr>
            <w:r>
              <w:rPr>
                <w:rFonts w:hint="eastAsia"/>
                <w:color w:val="FFFFFF"/>
                <w:kern w:val="0"/>
                <w:szCs w:val="21"/>
                <w:highlight w:val="none"/>
              </w:rPr>
              <w:t>壁 厚mm</w:t>
            </w:r>
          </w:p>
        </w:tc>
        <w:tc>
          <w:tcPr>
            <w:tcW w:w="4568" w:type="dxa"/>
            <w:shd w:val="clear" w:color="auto" w:fill="47AD14"/>
            <w:vAlign w:val="center"/>
          </w:tcPr>
          <w:p w14:paraId="264116A3">
            <w:pPr>
              <w:widowControl/>
              <w:jc w:val="center"/>
              <w:rPr>
                <w:kern w:val="0"/>
                <w:szCs w:val="21"/>
                <w:highlight w:val="none"/>
                <w:lang w:val="zh-CN"/>
              </w:rPr>
            </w:pPr>
            <w:r>
              <w:rPr>
                <w:rFonts w:hint="eastAsia"/>
                <w:color w:val="FFFFFF"/>
                <w:kern w:val="0"/>
                <w:szCs w:val="21"/>
                <w:highlight w:val="none"/>
              </w:rPr>
              <w:t>备 注</w:t>
            </w:r>
          </w:p>
        </w:tc>
      </w:tr>
      <w:tr w14:paraId="71ACD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504" w:type="dxa"/>
            <w:shd w:val="clear" w:color="auto" w:fill="F7FFF7"/>
            <w:vAlign w:val="center"/>
          </w:tcPr>
          <w:p w14:paraId="5F77637A">
            <w:pPr>
              <w:widowControl/>
              <w:jc w:val="center"/>
              <w:rPr>
                <w:kern w:val="0"/>
                <w:szCs w:val="21"/>
                <w:highlight w:val="none"/>
                <w:lang w:val="zh-CN"/>
              </w:rPr>
            </w:pPr>
            <w:r>
              <w:rPr>
                <w:rFonts w:hint="eastAsia"/>
                <w:kern w:val="0"/>
                <w:szCs w:val="21"/>
                <w:highlight w:val="none"/>
              </w:rPr>
              <w:t>20</w:t>
            </w:r>
          </w:p>
        </w:tc>
        <w:tc>
          <w:tcPr>
            <w:tcW w:w="1508" w:type="dxa"/>
            <w:shd w:val="clear" w:color="auto" w:fill="F7FFF7"/>
            <w:vAlign w:val="center"/>
          </w:tcPr>
          <w:p w14:paraId="3F22BB25">
            <w:pPr>
              <w:widowControl/>
              <w:jc w:val="center"/>
              <w:rPr>
                <w:kern w:val="0"/>
                <w:szCs w:val="21"/>
                <w:highlight w:val="none"/>
                <w:lang w:val="zh-CN"/>
              </w:rPr>
            </w:pPr>
            <w:r>
              <w:rPr>
                <w:rFonts w:hint="eastAsia"/>
                <w:kern w:val="0"/>
                <w:szCs w:val="21"/>
                <w:highlight w:val="none"/>
              </w:rPr>
              <w:t>盘管</w:t>
            </w:r>
          </w:p>
        </w:tc>
        <w:tc>
          <w:tcPr>
            <w:tcW w:w="1645" w:type="dxa"/>
            <w:shd w:val="clear" w:color="auto" w:fill="F7FFF7"/>
            <w:vAlign w:val="center"/>
          </w:tcPr>
          <w:p w14:paraId="4960C8D1">
            <w:pPr>
              <w:widowControl/>
              <w:jc w:val="center"/>
              <w:rPr>
                <w:kern w:val="0"/>
                <w:szCs w:val="21"/>
                <w:highlight w:val="none"/>
                <w:lang w:val="zh-CN"/>
              </w:rPr>
            </w:pPr>
            <w:r>
              <w:rPr>
                <w:rFonts w:hint="eastAsia"/>
                <w:kern w:val="0"/>
                <w:szCs w:val="21"/>
                <w:highlight w:val="none"/>
              </w:rPr>
              <w:t>2.2</w:t>
            </w:r>
          </w:p>
        </w:tc>
        <w:tc>
          <w:tcPr>
            <w:tcW w:w="4568" w:type="dxa"/>
            <w:vMerge w:val="restart"/>
          </w:tcPr>
          <w:p w14:paraId="4B5F6D10">
            <w:pPr>
              <w:widowControl/>
              <w:snapToGrid w:val="0"/>
              <w:rPr>
                <w:kern w:val="0"/>
                <w:szCs w:val="21"/>
                <w:highlight w:val="none"/>
              </w:rPr>
            </w:pPr>
            <w:r>
              <w:rPr>
                <w:rFonts w:hint="eastAsia"/>
                <w:kern w:val="0"/>
                <w:szCs w:val="21"/>
                <w:highlight w:val="none"/>
              </w:rPr>
              <w:t>1、直径90以下（含90）50M/盘管</w:t>
            </w:r>
          </w:p>
          <w:p w14:paraId="3B02B031">
            <w:pPr>
              <w:widowControl/>
              <w:snapToGrid w:val="0"/>
              <w:rPr>
                <w:szCs w:val="21"/>
                <w:highlight w:val="none"/>
              </w:rPr>
            </w:pPr>
          </w:p>
          <w:p w14:paraId="2BC54BBE">
            <w:pPr>
              <w:widowControl/>
              <w:snapToGrid w:val="0"/>
              <w:rPr>
                <w:szCs w:val="21"/>
                <w:highlight w:val="none"/>
              </w:rPr>
            </w:pPr>
            <w:r>
              <w:rPr>
                <w:rFonts w:hint="eastAsia"/>
                <w:szCs w:val="21"/>
                <w:highlight w:val="none"/>
              </w:rPr>
              <w:t>2、</w:t>
            </w:r>
            <w:r>
              <w:rPr>
                <w:rFonts w:hint="eastAsia"/>
                <w:kern w:val="0"/>
                <w:szCs w:val="21"/>
                <w:highlight w:val="none"/>
              </w:rPr>
              <w:t>直径90以下（含90）</w:t>
            </w:r>
            <w:r>
              <w:rPr>
                <w:rFonts w:hint="eastAsia"/>
                <w:szCs w:val="21"/>
                <w:highlight w:val="none"/>
              </w:rPr>
              <w:t>每50M必须配套30cm长管接头4根</w:t>
            </w:r>
          </w:p>
          <w:p w14:paraId="141320A9">
            <w:pPr>
              <w:widowControl/>
              <w:snapToGrid w:val="0"/>
              <w:ind w:left="547"/>
              <w:jc w:val="left"/>
              <w:rPr>
                <w:szCs w:val="21"/>
                <w:highlight w:val="none"/>
              </w:rPr>
            </w:pPr>
          </w:p>
          <w:p w14:paraId="325B3539">
            <w:pPr>
              <w:widowControl/>
              <w:numPr>
                <w:ilvl w:val="0"/>
                <w:numId w:val="1"/>
              </w:numPr>
              <w:snapToGrid w:val="0"/>
              <w:jc w:val="left"/>
              <w:rPr>
                <w:szCs w:val="21"/>
                <w:highlight w:val="none"/>
              </w:rPr>
            </w:pPr>
            <w:r>
              <w:rPr>
                <w:rFonts w:hint="eastAsia"/>
                <w:szCs w:val="21"/>
                <w:highlight w:val="none"/>
              </w:rPr>
              <w:t>直径110每根配2个接头</w:t>
            </w:r>
          </w:p>
        </w:tc>
      </w:tr>
      <w:tr w14:paraId="0CBC9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504" w:type="dxa"/>
            <w:shd w:val="clear" w:color="auto" w:fill="F7FFF7"/>
            <w:vAlign w:val="center"/>
          </w:tcPr>
          <w:p w14:paraId="2AFB15AA">
            <w:pPr>
              <w:widowControl/>
              <w:jc w:val="center"/>
              <w:rPr>
                <w:kern w:val="0"/>
                <w:szCs w:val="21"/>
                <w:highlight w:val="none"/>
                <w:lang w:val="zh-CN"/>
              </w:rPr>
            </w:pPr>
            <w:r>
              <w:rPr>
                <w:rFonts w:hint="eastAsia"/>
                <w:kern w:val="0"/>
                <w:szCs w:val="21"/>
                <w:highlight w:val="none"/>
              </w:rPr>
              <w:t>25</w:t>
            </w:r>
          </w:p>
        </w:tc>
        <w:tc>
          <w:tcPr>
            <w:tcW w:w="1508" w:type="dxa"/>
            <w:shd w:val="clear" w:color="auto" w:fill="F7FFF7"/>
            <w:vAlign w:val="center"/>
          </w:tcPr>
          <w:p w14:paraId="630B1186">
            <w:pPr>
              <w:widowControl/>
              <w:jc w:val="center"/>
              <w:rPr>
                <w:kern w:val="0"/>
                <w:szCs w:val="21"/>
                <w:highlight w:val="none"/>
                <w:lang w:val="zh-CN"/>
              </w:rPr>
            </w:pPr>
            <w:r>
              <w:rPr>
                <w:rFonts w:hint="eastAsia"/>
                <w:kern w:val="0"/>
                <w:szCs w:val="21"/>
                <w:highlight w:val="none"/>
              </w:rPr>
              <w:t>盘管</w:t>
            </w:r>
          </w:p>
        </w:tc>
        <w:tc>
          <w:tcPr>
            <w:tcW w:w="1645" w:type="dxa"/>
            <w:shd w:val="clear" w:color="auto" w:fill="F7FFF7"/>
            <w:vAlign w:val="center"/>
          </w:tcPr>
          <w:p w14:paraId="3DC3C98B">
            <w:pPr>
              <w:widowControl/>
              <w:jc w:val="center"/>
              <w:rPr>
                <w:kern w:val="0"/>
                <w:szCs w:val="21"/>
                <w:highlight w:val="none"/>
                <w:lang w:val="zh-CN"/>
              </w:rPr>
            </w:pPr>
            <w:r>
              <w:rPr>
                <w:rFonts w:hint="eastAsia"/>
                <w:kern w:val="0"/>
                <w:szCs w:val="21"/>
                <w:highlight w:val="none"/>
              </w:rPr>
              <w:t>2.2</w:t>
            </w:r>
          </w:p>
        </w:tc>
        <w:tc>
          <w:tcPr>
            <w:tcW w:w="4568" w:type="dxa"/>
            <w:vMerge w:val="continue"/>
          </w:tcPr>
          <w:p w14:paraId="4480984E">
            <w:pPr>
              <w:tabs>
                <w:tab w:val="left" w:pos="5325"/>
              </w:tabs>
              <w:autoSpaceDE w:val="0"/>
              <w:autoSpaceDN w:val="0"/>
              <w:adjustRightInd w:val="0"/>
              <w:snapToGrid w:val="0"/>
              <w:contextualSpacing/>
              <w:rPr>
                <w:kern w:val="0"/>
                <w:szCs w:val="21"/>
                <w:highlight w:val="none"/>
                <w:lang w:val="zh-CN"/>
              </w:rPr>
            </w:pPr>
          </w:p>
        </w:tc>
      </w:tr>
      <w:tr w14:paraId="6FA3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504" w:type="dxa"/>
            <w:shd w:val="clear" w:color="auto" w:fill="F7FFF7"/>
            <w:vAlign w:val="center"/>
          </w:tcPr>
          <w:p w14:paraId="557FCF4D">
            <w:pPr>
              <w:widowControl/>
              <w:jc w:val="center"/>
              <w:rPr>
                <w:kern w:val="0"/>
                <w:szCs w:val="21"/>
                <w:highlight w:val="none"/>
                <w:lang w:val="zh-CN"/>
              </w:rPr>
            </w:pPr>
            <w:r>
              <w:rPr>
                <w:rFonts w:hint="eastAsia"/>
                <w:kern w:val="0"/>
                <w:szCs w:val="21"/>
                <w:highlight w:val="none"/>
              </w:rPr>
              <w:t>32</w:t>
            </w:r>
          </w:p>
        </w:tc>
        <w:tc>
          <w:tcPr>
            <w:tcW w:w="1508" w:type="dxa"/>
            <w:shd w:val="clear" w:color="auto" w:fill="F7FFF7"/>
            <w:vAlign w:val="center"/>
          </w:tcPr>
          <w:p w14:paraId="3E82DD95">
            <w:pPr>
              <w:widowControl/>
              <w:jc w:val="center"/>
              <w:rPr>
                <w:kern w:val="0"/>
                <w:szCs w:val="21"/>
                <w:highlight w:val="none"/>
                <w:lang w:val="zh-CN"/>
              </w:rPr>
            </w:pPr>
            <w:r>
              <w:rPr>
                <w:rFonts w:hint="eastAsia"/>
                <w:kern w:val="0"/>
                <w:szCs w:val="21"/>
                <w:highlight w:val="none"/>
              </w:rPr>
              <w:t>盘管</w:t>
            </w:r>
          </w:p>
        </w:tc>
        <w:tc>
          <w:tcPr>
            <w:tcW w:w="1645" w:type="dxa"/>
            <w:shd w:val="clear" w:color="auto" w:fill="F7FFF7"/>
            <w:vAlign w:val="center"/>
          </w:tcPr>
          <w:p w14:paraId="2DC008F4">
            <w:pPr>
              <w:widowControl/>
              <w:jc w:val="center"/>
              <w:rPr>
                <w:kern w:val="0"/>
                <w:szCs w:val="21"/>
                <w:highlight w:val="none"/>
                <w:lang w:val="zh-CN"/>
              </w:rPr>
            </w:pPr>
            <w:r>
              <w:rPr>
                <w:rFonts w:hint="eastAsia"/>
                <w:kern w:val="0"/>
                <w:szCs w:val="21"/>
                <w:highlight w:val="none"/>
              </w:rPr>
              <w:t>2.5</w:t>
            </w:r>
          </w:p>
        </w:tc>
        <w:tc>
          <w:tcPr>
            <w:tcW w:w="4568" w:type="dxa"/>
            <w:vMerge w:val="continue"/>
          </w:tcPr>
          <w:p w14:paraId="48E42841">
            <w:pPr>
              <w:tabs>
                <w:tab w:val="left" w:pos="5325"/>
              </w:tabs>
              <w:autoSpaceDE w:val="0"/>
              <w:autoSpaceDN w:val="0"/>
              <w:adjustRightInd w:val="0"/>
              <w:snapToGrid w:val="0"/>
              <w:contextualSpacing/>
              <w:rPr>
                <w:kern w:val="0"/>
                <w:szCs w:val="21"/>
                <w:highlight w:val="none"/>
                <w:lang w:val="zh-CN"/>
              </w:rPr>
            </w:pPr>
          </w:p>
        </w:tc>
      </w:tr>
      <w:tr w14:paraId="52364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504" w:type="dxa"/>
            <w:shd w:val="clear" w:color="auto" w:fill="F7FFF7"/>
            <w:vAlign w:val="center"/>
          </w:tcPr>
          <w:p w14:paraId="5B3421D0">
            <w:pPr>
              <w:widowControl/>
              <w:jc w:val="center"/>
              <w:rPr>
                <w:kern w:val="0"/>
                <w:szCs w:val="21"/>
                <w:highlight w:val="none"/>
                <w:lang w:val="zh-CN"/>
              </w:rPr>
            </w:pPr>
            <w:r>
              <w:rPr>
                <w:rFonts w:hint="eastAsia"/>
                <w:kern w:val="0"/>
                <w:szCs w:val="21"/>
                <w:highlight w:val="none"/>
              </w:rPr>
              <w:t>40</w:t>
            </w:r>
          </w:p>
        </w:tc>
        <w:tc>
          <w:tcPr>
            <w:tcW w:w="1508" w:type="dxa"/>
            <w:shd w:val="clear" w:color="auto" w:fill="F7FFF7"/>
            <w:vAlign w:val="center"/>
          </w:tcPr>
          <w:p w14:paraId="21849968">
            <w:pPr>
              <w:widowControl/>
              <w:jc w:val="center"/>
              <w:rPr>
                <w:kern w:val="0"/>
                <w:szCs w:val="21"/>
                <w:highlight w:val="none"/>
                <w:lang w:val="zh-CN"/>
              </w:rPr>
            </w:pPr>
            <w:r>
              <w:rPr>
                <w:rFonts w:hint="eastAsia"/>
                <w:kern w:val="0"/>
                <w:szCs w:val="21"/>
                <w:highlight w:val="none"/>
              </w:rPr>
              <w:t>盘管</w:t>
            </w:r>
          </w:p>
        </w:tc>
        <w:tc>
          <w:tcPr>
            <w:tcW w:w="1645" w:type="dxa"/>
            <w:shd w:val="clear" w:color="auto" w:fill="F7FFF7"/>
            <w:vAlign w:val="center"/>
          </w:tcPr>
          <w:p w14:paraId="3F29FBAD">
            <w:pPr>
              <w:widowControl/>
              <w:jc w:val="center"/>
              <w:rPr>
                <w:kern w:val="0"/>
                <w:szCs w:val="21"/>
                <w:highlight w:val="none"/>
                <w:lang w:val="zh-CN"/>
              </w:rPr>
            </w:pPr>
            <w:r>
              <w:rPr>
                <w:rFonts w:hint="eastAsia"/>
                <w:kern w:val="0"/>
                <w:szCs w:val="21"/>
                <w:highlight w:val="none"/>
              </w:rPr>
              <w:t>3</w:t>
            </w:r>
          </w:p>
        </w:tc>
        <w:tc>
          <w:tcPr>
            <w:tcW w:w="4568" w:type="dxa"/>
            <w:vMerge w:val="continue"/>
          </w:tcPr>
          <w:p w14:paraId="56CD7A3C">
            <w:pPr>
              <w:tabs>
                <w:tab w:val="left" w:pos="5325"/>
              </w:tabs>
              <w:autoSpaceDE w:val="0"/>
              <w:autoSpaceDN w:val="0"/>
              <w:adjustRightInd w:val="0"/>
              <w:snapToGrid w:val="0"/>
              <w:contextualSpacing/>
              <w:rPr>
                <w:kern w:val="0"/>
                <w:szCs w:val="21"/>
                <w:highlight w:val="none"/>
                <w:lang w:val="zh-CN"/>
              </w:rPr>
            </w:pPr>
          </w:p>
        </w:tc>
      </w:tr>
      <w:tr w14:paraId="39B64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504" w:type="dxa"/>
            <w:shd w:val="clear" w:color="auto" w:fill="F7FFF7"/>
            <w:vAlign w:val="center"/>
          </w:tcPr>
          <w:p w14:paraId="55F653C9">
            <w:pPr>
              <w:widowControl/>
              <w:jc w:val="center"/>
              <w:rPr>
                <w:kern w:val="0"/>
                <w:szCs w:val="21"/>
                <w:highlight w:val="none"/>
                <w:lang w:val="zh-CN"/>
              </w:rPr>
            </w:pPr>
            <w:r>
              <w:rPr>
                <w:rFonts w:hint="eastAsia"/>
                <w:kern w:val="0"/>
                <w:szCs w:val="21"/>
                <w:highlight w:val="none"/>
              </w:rPr>
              <w:t>50</w:t>
            </w:r>
          </w:p>
        </w:tc>
        <w:tc>
          <w:tcPr>
            <w:tcW w:w="1508" w:type="dxa"/>
            <w:shd w:val="clear" w:color="auto" w:fill="F7FFF7"/>
            <w:vAlign w:val="center"/>
          </w:tcPr>
          <w:p w14:paraId="55D9E96F">
            <w:pPr>
              <w:widowControl/>
              <w:jc w:val="center"/>
              <w:rPr>
                <w:kern w:val="0"/>
                <w:szCs w:val="21"/>
                <w:highlight w:val="none"/>
                <w:lang w:val="zh-CN"/>
              </w:rPr>
            </w:pPr>
            <w:r>
              <w:rPr>
                <w:rFonts w:hint="eastAsia"/>
                <w:kern w:val="0"/>
                <w:szCs w:val="21"/>
                <w:highlight w:val="none"/>
              </w:rPr>
              <w:t>盘管</w:t>
            </w:r>
          </w:p>
        </w:tc>
        <w:tc>
          <w:tcPr>
            <w:tcW w:w="1645" w:type="dxa"/>
            <w:shd w:val="clear" w:color="auto" w:fill="F7FFF7"/>
            <w:vAlign w:val="center"/>
          </w:tcPr>
          <w:p w14:paraId="55598286">
            <w:pPr>
              <w:widowControl/>
              <w:jc w:val="center"/>
              <w:rPr>
                <w:kern w:val="0"/>
                <w:szCs w:val="21"/>
                <w:highlight w:val="none"/>
                <w:lang w:val="zh-CN"/>
              </w:rPr>
            </w:pPr>
            <w:r>
              <w:rPr>
                <w:rFonts w:hint="eastAsia"/>
                <w:kern w:val="0"/>
                <w:szCs w:val="21"/>
                <w:highlight w:val="none"/>
              </w:rPr>
              <w:t>3.2</w:t>
            </w:r>
          </w:p>
        </w:tc>
        <w:tc>
          <w:tcPr>
            <w:tcW w:w="4568" w:type="dxa"/>
            <w:vMerge w:val="continue"/>
          </w:tcPr>
          <w:p w14:paraId="4C58164B">
            <w:pPr>
              <w:tabs>
                <w:tab w:val="left" w:pos="5325"/>
              </w:tabs>
              <w:autoSpaceDE w:val="0"/>
              <w:autoSpaceDN w:val="0"/>
              <w:adjustRightInd w:val="0"/>
              <w:snapToGrid w:val="0"/>
              <w:contextualSpacing/>
              <w:rPr>
                <w:kern w:val="0"/>
                <w:szCs w:val="21"/>
                <w:highlight w:val="none"/>
                <w:lang w:val="zh-CN"/>
              </w:rPr>
            </w:pPr>
          </w:p>
        </w:tc>
      </w:tr>
      <w:tr w14:paraId="387A8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504" w:type="dxa"/>
            <w:shd w:val="clear" w:color="auto" w:fill="F7FFF7"/>
            <w:vAlign w:val="center"/>
          </w:tcPr>
          <w:p w14:paraId="3BF0A6AA">
            <w:pPr>
              <w:widowControl/>
              <w:jc w:val="center"/>
              <w:rPr>
                <w:kern w:val="0"/>
                <w:szCs w:val="21"/>
                <w:highlight w:val="none"/>
                <w:lang w:val="zh-CN"/>
              </w:rPr>
            </w:pPr>
            <w:r>
              <w:rPr>
                <w:rFonts w:hint="eastAsia"/>
                <w:kern w:val="0"/>
                <w:szCs w:val="21"/>
                <w:highlight w:val="none"/>
              </w:rPr>
              <w:t>63</w:t>
            </w:r>
          </w:p>
        </w:tc>
        <w:tc>
          <w:tcPr>
            <w:tcW w:w="1508" w:type="dxa"/>
            <w:shd w:val="clear" w:color="auto" w:fill="F7FFF7"/>
            <w:vAlign w:val="center"/>
          </w:tcPr>
          <w:p w14:paraId="4D188750">
            <w:pPr>
              <w:widowControl/>
              <w:jc w:val="center"/>
              <w:rPr>
                <w:kern w:val="0"/>
                <w:szCs w:val="21"/>
                <w:highlight w:val="none"/>
                <w:lang w:val="zh-CN"/>
              </w:rPr>
            </w:pPr>
            <w:r>
              <w:rPr>
                <w:rFonts w:hint="eastAsia"/>
                <w:kern w:val="0"/>
                <w:szCs w:val="21"/>
                <w:highlight w:val="none"/>
              </w:rPr>
              <w:t>盘管</w:t>
            </w:r>
          </w:p>
        </w:tc>
        <w:tc>
          <w:tcPr>
            <w:tcW w:w="1645" w:type="dxa"/>
            <w:shd w:val="clear" w:color="auto" w:fill="F7FFF7"/>
            <w:vAlign w:val="center"/>
          </w:tcPr>
          <w:p w14:paraId="3B06AE9C">
            <w:pPr>
              <w:widowControl/>
              <w:jc w:val="center"/>
              <w:rPr>
                <w:kern w:val="0"/>
                <w:szCs w:val="21"/>
                <w:highlight w:val="none"/>
                <w:lang w:val="zh-CN"/>
              </w:rPr>
            </w:pPr>
            <w:r>
              <w:rPr>
                <w:rFonts w:hint="eastAsia"/>
                <w:kern w:val="0"/>
                <w:szCs w:val="21"/>
                <w:highlight w:val="none"/>
              </w:rPr>
              <w:t>4</w:t>
            </w:r>
          </w:p>
        </w:tc>
        <w:tc>
          <w:tcPr>
            <w:tcW w:w="4568" w:type="dxa"/>
            <w:vMerge w:val="continue"/>
          </w:tcPr>
          <w:p w14:paraId="795F21DB">
            <w:pPr>
              <w:tabs>
                <w:tab w:val="left" w:pos="5325"/>
              </w:tabs>
              <w:autoSpaceDE w:val="0"/>
              <w:autoSpaceDN w:val="0"/>
              <w:adjustRightInd w:val="0"/>
              <w:snapToGrid w:val="0"/>
              <w:contextualSpacing/>
              <w:rPr>
                <w:kern w:val="0"/>
                <w:szCs w:val="21"/>
                <w:highlight w:val="none"/>
                <w:lang w:val="zh-CN"/>
              </w:rPr>
            </w:pPr>
          </w:p>
        </w:tc>
      </w:tr>
      <w:tr w14:paraId="7FFC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504" w:type="dxa"/>
            <w:shd w:val="clear" w:color="auto" w:fill="F7FFF7"/>
            <w:vAlign w:val="center"/>
          </w:tcPr>
          <w:p w14:paraId="1FB828CE">
            <w:pPr>
              <w:widowControl/>
              <w:jc w:val="center"/>
              <w:rPr>
                <w:kern w:val="0"/>
                <w:szCs w:val="21"/>
                <w:highlight w:val="none"/>
                <w:lang w:val="zh-CN"/>
              </w:rPr>
            </w:pPr>
            <w:r>
              <w:rPr>
                <w:rFonts w:hint="eastAsia"/>
                <w:kern w:val="0"/>
                <w:szCs w:val="21"/>
                <w:highlight w:val="none"/>
              </w:rPr>
              <w:t>75</w:t>
            </w:r>
          </w:p>
        </w:tc>
        <w:tc>
          <w:tcPr>
            <w:tcW w:w="1508" w:type="dxa"/>
            <w:shd w:val="clear" w:color="auto" w:fill="F7FFF7"/>
            <w:vAlign w:val="center"/>
          </w:tcPr>
          <w:p w14:paraId="1A2C9BF2">
            <w:pPr>
              <w:widowControl/>
              <w:jc w:val="center"/>
              <w:rPr>
                <w:kern w:val="0"/>
                <w:szCs w:val="21"/>
                <w:highlight w:val="none"/>
                <w:lang w:val="zh-CN"/>
              </w:rPr>
            </w:pPr>
            <w:r>
              <w:rPr>
                <w:rFonts w:hint="eastAsia"/>
                <w:kern w:val="0"/>
                <w:szCs w:val="21"/>
                <w:highlight w:val="none"/>
              </w:rPr>
              <w:t>盘管</w:t>
            </w:r>
          </w:p>
        </w:tc>
        <w:tc>
          <w:tcPr>
            <w:tcW w:w="1645" w:type="dxa"/>
            <w:shd w:val="clear" w:color="auto" w:fill="F7FFF7"/>
            <w:vAlign w:val="center"/>
          </w:tcPr>
          <w:p w14:paraId="2ABFCD91">
            <w:pPr>
              <w:widowControl/>
              <w:jc w:val="center"/>
              <w:rPr>
                <w:kern w:val="0"/>
                <w:szCs w:val="21"/>
                <w:highlight w:val="none"/>
                <w:lang w:val="zh-CN"/>
              </w:rPr>
            </w:pPr>
            <w:r>
              <w:rPr>
                <w:rFonts w:hint="eastAsia"/>
                <w:kern w:val="0"/>
                <w:szCs w:val="21"/>
                <w:highlight w:val="none"/>
              </w:rPr>
              <w:t>5</w:t>
            </w:r>
          </w:p>
        </w:tc>
        <w:tc>
          <w:tcPr>
            <w:tcW w:w="4568" w:type="dxa"/>
            <w:vMerge w:val="continue"/>
          </w:tcPr>
          <w:p w14:paraId="07CF8D8F">
            <w:pPr>
              <w:tabs>
                <w:tab w:val="left" w:pos="5325"/>
              </w:tabs>
              <w:autoSpaceDE w:val="0"/>
              <w:autoSpaceDN w:val="0"/>
              <w:adjustRightInd w:val="0"/>
              <w:snapToGrid w:val="0"/>
              <w:contextualSpacing/>
              <w:rPr>
                <w:kern w:val="0"/>
                <w:szCs w:val="21"/>
                <w:highlight w:val="none"/>
                <w:lang w:val="zh-CN"/>
              </w:rPr>
            </w:pPr>
          </w:p>
        </w:tc>
      </w:tr>
      <w:tr w14:paraId="6EBBF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504" w:type="dxa"/>
            <w:shd w:val="clear" w:color="auto" w:fill="F7FFF7"/>
            <w:vAlign w:val="center"/>
          </w:tcPr>
          <w:p w14:paraId="191DBA38">
            <w:pPr>
              <w:widowControl/>
              <w:jc w:val="center"/>
              <w:rPr>
                <w:kern w:val="0"/>
                <w:szCs w:val="21"/>
                <w:highlight w:val="none"/>
                <w:lang w:val="zh-CN"/>
              </w:rPr>
            </w:pPr>
            <w:r>
              <w:rPr>
                <w:rFonts w:hint="eastAsia"/>
                <w:kern w:val="0"/>
                <w:szCs w:val="21"/>
                <w:highlight w:val="none"/>
              </w:rPr>
              <w:t>90</w:t>
            </w:r>
          </w:p>
        </w:tc>
        <w:tc>
          <w:tcPr>
            <w:tcW w:w="1508" w:type="dxa"/>
            <w:shd w:val="clear" w:color="auto" w:fill="F7FFF7"/>
            <w:vAlign w:val="center"/>
          </w:tcPr>
          <w:p w14:paraId="6FAF62FE">
            <w:pPr>
              <w:widowControl/>
              <w:jc w:val="center"/>
              <w:rPr>
                <w:kern w:val="0"/>
                <w:szCs w:val="21"/>
                <w:highlight w:val="none"/>
                <w:lang w:val="zh-CN"/>
              </w:rPr>
            </w:pPr>
            <w:r>
              <w:rPr>
                <w:rFonts w:hint="eastAsia"/>
                <w:kern w:val="0"/>
                <w:szCs w:val="21"/>
                <w:highlight w:val="none"/>
              </w:rPr>
              <w:t>盘管</w:t>
            </w:r>
          </w:p>
        </w:tc>
        <w:tc>
          <w:tcPr>
            <w:tcW w:w="1645" w:type="dxa"/>
            <w:shd w:val="clear" w:color="auto" w:fill="F7FFF7"/>
            <w:vAlign w:val="center"/>
          </w:tcPr>
          <w:p w14:paraId="0C19A487">
            <w:pPr>
              <w:widowControl/>
              <w:jc w:val="center"/>
              <w:rPr>
                <w:kern w:val="0"/>
                <w:szCs w:val="21"/>
                <w:highlight w:val="none"/>
                <w:lang w:val="zh-CN"/>
              </w:rPr>
            </w:pPr>
            <w:r>
              <w:rPr>
                <w:rFonts w:hint="eastAsia"/>
                <w:kern w:val="0"/>
                <w:szCs w:val="21"/>
                <w:highlight w:val="none"/>
              </w:rPr>
              <w:t>5</w:t>
            </w:r>
          </w:p>
        </w:tc>
        <w:tc>
          <w:tcPr>
            <w:tcW w:w="4568" w:type="dxa"/>
            <w:vMerge w:val="continue"/>
          </w:tcPr>
          <w:p w14:paraId="44593D44">
            <w:pPr>
              <w:tabs>
                <w:tab w:val="left" w:pos="5325"/>
              </w:tabs>
              <w:autoSpaceDE w:val="0"/>
              <w:autoSpaceDN w:val="0"/>
              <w:adjustRightInd w:val="0"/>
              <w:snapToGrid w:val="0"/>
              <w:contextualSpacing/>
              <w:rPr>
                <w:kern w:val="0"/>
                <w:szCs w:val="21"/>
                <w:highlight w:val="none"/>
                <w:lang w:val="zh-CN"/>
              </w:rPr>
            </w:pPr>
          </w:p>
        </w:tc>
      </w:tr>
      <w:tr w14:paraId="2FFAD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504" w:type="dxa"/>
            <w:shd w:val="clear" w:color="auto" w:fill="F7FFF7"/>
            <w:vAlign w:val="center"/>
          </w:tcPr>
          <w:p w14:paraId="2A716F42">
            <w:pPr>
              <w:widowControl/>
              <w:jc w:val="center"/>
              <w:rPr>
                <w:kern w:val="0"/>
                <w:szCs w:val="21"/>
                <w:highlight w:val="none"/>
                <w:lang w:val="zh-CN"/>
              </w:rPr>
            </w:pPr>
            <w:r>
              <w:rPr>
                <w:rFonts w:hint="eastAsia"/>
                <w:kern w:val="0"/>
                <w:szCs w:val="21"/>
                <w:highlight w:val="none"/>
              </w:rPr>
              <w:t>110</w:t>
            </w:r>
          </w:p>
        </w:tc>
        <w:tc>
          <w:tcPr>
            <w:tcW w:w="1508" w:type="dxa"/>
            <w:shd w:val="clear" w:color="auto" w:fill="F7FFF7"/>
            <w:vAlign w:val="center"/>
          </w:tcPr>
          <w:p w14:paraId="4E3209BD">
            <w:pPr>
              <w:widowControl/>
              <w:jc w:val="center"/>
              <w:rPr>
                <w:kern w:val="0"/>
                <w:szCs w:val="21"/>
                <w:highlight w:val="none"/>
                <w:lang w:val="zh-CN"/>
              </w:rPr>
            </w:pPr>
            <w:r>
              <w:rPr>
                <w:rFonts w:hint="eastAsia"/>
                <w:kern w:val="0"/>
                <w:szCs w:val="21"/>
                <w:highlight w:val="none"/>
              </w:rPr>
              <w:t>9</w:t>
            </w:r>
          </w:p>
        </w:tc>
        <w:tc>
          <w:tcPr>
            <w:tcW w:w="1645" w:type="dxa"/>
            <w:shd w:val="clear" w:color="auto" w:fill="F7FFF7"/>
            <w:vAlign w:val="center"/>
          </w:tcPr>
          <w:p w14:paraId="420F1D92">
            <w:pPr>
              <w:widowControl/>
              <w:jc w:val="center"/>
              <w:rPr>
                <w:kern w:val="0"/>
                <w:szCs w:val="21"/>
                <w:highlight w:val="none"/>
                <w:lang w:val="zh-CN"/>
              </w:rPr>
            </w:pPr>
            <w:r>
              <w:rPr>
                <w:rFonts w:hint="eastAsia"/>
                <w:kern w:val="0"/>
                <w:szCs w:val="21"/>
                <w:highlight w:val="none"/>
              </w:rPr>
              <w:t>5</w:t>
            </w:r>
          </w:p>
        </w:tc>
        <w:tc>
          <w:tcPr>
            <w:tcW w:w="4568" w:type="dxa"/>
            <w:vMerge w:val="continue"/>
          </w:tcPr>
          <w:p w14:paraId="349286F6">
            <w:pPr>
              <w:tabs>
                <w:tab w:val="left" w:pos="5325"/>
              </w:tabs>
              <w:autoSpaceDE w:val="0"/>
              <w:autoSpaceDN w:val="0"/>
              <w:adjustRightInd w:val="0"/>
              <w:snapToGrid w:val="0"/>
              <w:contextualSpacing/>
              <w:rPr>
                <w:kern w:val="0"/>
                <w:szCs w:val="21"/>
                <w:highlight w:val="none"/>
                <w:lang w:val="zh-CN"/>
              </w:rPr>
            </w:pPr>
          </w:p>
        </w:tc>
      </w:tr>
      <w:tr w14:paraId="69AA5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504" w:type="dxa"/>
            <w:shd w:val="clear" w:color="auto" w:fill="F7FFF7"/>
            <w:vAlign w:val="center"/>
          </w:tcPr>
          <w:p w14:paraId="4B2EFC93">
            <w:pPr>
              <w:widowControl/>
              <w:jc w:val="center"/>
              <w:rPr>
                <w:kern w:val="0"/>
                <w:szCs w:val="21"/>
                <w:highlight w:val="none"/>
              </w:rPr>
            </w:pPr>
            <w:r>
              <w:rPr>
                <w:rFonts w:hint="eastAsia"/>
                <w:kern w:val="0"/>
                <w:szCs w:val="21"/>
                <w:highlight w:val="none"/>
              </w:rPr>
              <w:t>1</w:t>
            </w:r>
            <w:r>
              <w:rPr>
                <w:kern w:val="0"/>
                <w:szCs w:val="21"/>
                <w:highlight w:val="none"/>
              </w:rPr>
              <w:t>50</w:t>
            </w:r>
          </w:p>
        </w:tc>
        <w:tc>
          <w:tcPr>
            <w:tcW w:w="1508" w:type="dxa"/>
            <w:shd w:val="clear" w:color="auto" w:fill="F7FFF7"/>
            <w:vAlign w:val="center"/>
          </w:tcPr>
          <w:p w14:paraId="42E5D57A">
            <w:pPr>
              <w:widowControl/>
              <w:jc w:val="center"/>
              <w:rPr>
                <w:kern w:val="0"/>
                <w:szCs w:val="21"/>
                <w:highlight w:val="none"/>
              </w:rPr>
            </w:pPr>
            <w:r>
              <w:rPr>
                <w:rFonts w:hint="eastAsia"/>
                <w:kern w:val="0"/>
                <w:szCs w:val="21"/>
                <w:highlight w:val="none"/>
              </w:rPr>
              <w:t>6</w:t>
            </w:r>
          </w:p>
        </w:tc>
        <w:tc>
          <w:tcPr>
            <w:tcW w:w="1645" w:type="dxa"/>
            <w:shd w:val="clear" w:color="auto" w:fill="F7FFF7"/>
            <w:vAlign w:val="center"/>
          </w:tcPr>
          <w:p w14:paraId="1418E8A1">
            <w:pPr>
              <w:widowControl/>
              <w:jc w:val="center"/>
              <w:rPr>
                <w:kern w:val="0"/>
                <w:szCs w:val="21"/>
                <w:highlight w:val="none"/>
              </w:rPr>
            </w:pPr>
            <w:r>
              <w:rPr>
                <w:kern w:val="0"/>
                <w:szCs w:val="21"/>
                <w:highlight w:val="none"/>
              </w:rPr>
              <w:t>8</w:t>
            </w:r>
          </w:p>
        </w:tc>
        <w:tc>
          <w:tcPr>
            <w:tcW w:w="4568" w:type="dxa"/>
            <w:vMerge w:val="continue"/>
          </w:tcPr>
          <w:p w14:paraId="534802C2">
            <w:pPr>
              <w:tabs>
                <w:tab w:val="left" w:pos="5325"/>
              </w:tabs>
              <w:autoSpaceDE w:val="0"/>
              <w:autoSpaceDN w:val="0"/>
              <w:adjustRightInd w:val="0"/>
              <w:snapToGrid w:val="0"/>
              <w:contextualSpacing/>
              <w:rPr>
                <w:kern w:val="0"/>
                <w:szCs w:val="21"/>
                <w:highlight w:val="none"/>
                <w:lang w:val="zh-CN"/>
              </w:rPr>
            </w:pPr>
          </w:p>
        </w:tc>
      </w:tr>
    </w:tbl>
    <w:p w14:paraId="4B0CA565">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3、外观，管材内外壁应光滑、平整，不允许有气泡、裂纹、分解变色线及明显的沟漕、凹陷、杂质等，管材切口应基本垂直于管材轴线。</w:t>
      </w:r>
    </w:p>
    <w:p w14:paraId="0644464F">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4、技术指标</w:t>
      </w:r>
    </w:p>
    <w:tbl>
      <w:tblPr>
        <w:tblStyle w:val="32"/>
        <w:tblW w:w="0" w:type="auto"/>
        <w:jc w:val="center"/>
        <w:tblCellSpacing w:w="6" w:type="dxa"/>
        <w:shd w:val="clear" w:color="auto" w:fill="006600"/>
        <w:tblLayout w:type="fixed"/>
        <w:tblCellMar>
          <w:top w:w="0" w:type="dxa"/>
          <w:left w:w="0" w:type="dxa"/>
          <w:bottom w:w="0" w:type="dxa"/>
          <w:right w:w="0" w:type="dxa"/>
        </w:tblCellMar>
      </w:tblPr>
      <w:tblGrid>
        <w:gridCol w:w="4216"/>
        <w:gridCol w:w="1716"/>
        <w:gridCol w:w="2727"/>
      </w:tblGrid>
      <w:tr w14:paraId="3B92A2CB">
        <w:tblPrEx>
          <w:shd w:val="clear" w:color="auto" w:fill="006600"/>
          <w:tblCellMar>
            <w:top w:w="0" w:type="dxa"/>
            <w:left w:w="0" w:type="dxa"/>
            <w:bottom w:w="0" w:type="dxa"/>
            <w:right w:w="0" w:type="dxa"/>
          </w:tblCellMar>
        </w:tblPrEx>
        <w:trPr>
          <w:trHeight w:val="274" w:hRule="atLeast"/>
          <w:tblCellSpacing w:w="6" w:type="dxa"/>
          <w:jc w:val="center"/>
        </w:trPr>
        <w:tc>
          <w:tcPr>
            <w:tcW w:w="4198" w:type="dxa"/>
            <w:vMerge w:val="restart"/>
            <w:tcBorders>
              <w:top w:val="nil"/>
              <w:left w:val="nil"/>
              <w:bottom w:val="nil"/>
              <w:right w:val="nil"/>
            </w:tcBorders>
            <w:shd w:val="clear" w:color="auto" w:fill="47AD14"/>
            <w:vAlign w:val="center"/>
          </w:tcPr>
          <w:p w14:paraId="6528BB2C">
            <w:pPr>
              <w:widowControl/>
              <w:jc w:val="center"/>
              <w:rPr>
                <w:color w:val="FFFFFF"/>
                <w:kern w:val="0"/>
                <w:szCs w:val="21"/>
                <w:highlight w:val="none"/>
              </w:rPr>
            </w:pPr>
            <w:r>
              <w:rPr>
                <w:rFonts w:hint="eastAsia"/>
                <w:color w:val="FFFFFF"/>
                <w:kern w:val="0"/>
                <w:szCs w:val="21"/>
                <w:highlight w:val="none"/>
              </w:rPr>
              <w:t>项目</w:t>
            </w:r>
          </w:p>
        </w:tc>
        <w:tc>
          <w:tcPr>
            <w:tcW w:w="4425" w:type="dxa"/>
            <w:gridSpan w:val="2"/>
            <w:tcBorders>
              <w:top w:val="nil"/>
              <w:left w:val="nil"/>
              <w:bottom w:val="nil"/>
              <w:right w:val="nil"/>
            </w:tcBorders>
            <w:shd w:val="clear" w:color="auto" w:fill="47AD14"/>
            <w:vAlign w:val="center"/>
          </w:tcPr>
          <w:p w14:paraId="66FEBB6C">
            <w:pPr>
              <w:widowControl/>
              <w:jc w:val="center"/>
              <w:rPr>
                <w:color w:val="FFFFFF"/>
                <w:kern w:val="0"/>
                <w:szCs w:val="21"/>
                <w:highlight w:val="none"/>
              </w:rPr>
            </w:pPr>
            <w:r>
              <w:rPr>
                <w:rFonts w:hint="eastAsia"/>
                <w:color w:val="FFFFFF"/>
                <w:kern w:val="0"/>
                <w:szCs w:val="21"/>
                <w:highlight w:val="none"/>
              </w:rPr>
              <w:t>技术指标</w:t>
            </w:r>
          </w:p>
        </w:tc>
      </w:tr>
      <w:tr w14:paraId="655E3D41">
        <w:tblPrEx>
          <w:shd w:val="clear" w:color="auto" w:fill="006600"/>
          <w:tblCellMar>
            <w:top w:w="0" w:type="dxa"/>
            <w:left w:w="0" w:type="dxa"/>
            <w:bottom w:w="0" w:type="dxa"/>
            <w:right w:w="0" w:type="dxa"/>
          </w:tblCellMar>
        </w:tblPrEx>
        <w:trPr>
          <w:trHeight w:val="121" w:hRule="atLeast"/>
          <w:tblCellSpacing w:w="6" w:type="dxa"/>
          <w:jc w:val="center"/>
        </w:trPr>
        <w:tc>
          <w:tcPr>
            <w:tcW w:w="4198" w:type="dxa"/>
            <w:vMerge w:val="continue"/>
            <w:tcBorders>
              <w:top w:val="nil"/>
              <w:left w:val="nil"/>
              <w:bottom w:val="nil"/>
              <w:right w:val="nil"/>
            </w:tcBorders>
            <w:shd w:val="clear" w:color="auto" w:fill="006600"/>
            <w:vAlign w:val="center"/>
          </w:tcPr>
          <w:p w14:paraId="3F5F6FDB">
            <w:pPr>
              <w:widowControl/>
              <w:jc w:val="left"/>
              <w:rPr>
                <w:color w:val="FFFFFF"/>
                <w:kern w:val="0"/>
                <w:szCs w:val="21"/>
                <w:highlight w:val="none"/>
              </w:rPr>
            </w:pPr>
          </w:p>
        </w:tc>
        <w:tc>
          <w:tcPr>
            <w:tcW w:w="1704" w:type="dxa"/>
            <w:tcBorders>
              <w:top w:val="nil"/>
              <w:left w:val="nil"/>
              <w:bottom w:val="nil"/>
              <w:right w:val="nil"/>
            </w:tcBorders>
            <w:shd w:val="clear" w:color="auto" w:fill="47AD14"/>
            <w:vAlign w:val="center"/>
          </w:tcPr>
          <w:p w14:paraId="2D6F4384">
            <w:pPr>
              <w:widowControl/>
              <w:jc w:val="center"/>
              <w:rPr>
                <w:color w:val="FFFFFF"/>
                <w:kern w:val="0"/>
                <w:szCs w:val="21"/>
                <w:highlight w:val="none"/>
              </w:rPr>
            </w:pPr>
            <w:r>
              <w:rPr>
                <w:rFonts w:hint="eastAsia"/>
                <w:color w:val="FFFFFF"/>
                <w:kern w:val="0"/>
                <w:szCs w:val="21"/>
                <w:highlight w:val="none"/>
              </w:rPr>
              <w:t>开挖施工用</w:t>
            </w:r>
          </w:p>
        </w:tc>
        <w:tc>
          <w:tcPr>
            <w:tcW w:w="2709" w:type="dxa"/>
            <w:tcBorders>
              <w:top w:val="nil"/>
              <w:left w:val="nil"/>
              <w:bottom w:val="nil"/>
              <w:right w:val="nil"/>
            </w:tcBorders>
            <w:shd w:val="clear" w:color="auto" w:fill="47AD14"/>
            <w:vAlign w:val="center"/>
          </w:tcPr>
          <w:p w14:paraId="3A5713FA">
            <w:pPr>
              <w:widowControl/>
              <w:jc w:val="center"/>
              <w:rPr>
                <w:color w:val="FFFFFF"/>
                <w:kern w:val="0"/>
                <w:szCs w:val="21"/>
                <w:highlight w:val="none"/>
              </w:rPr>
            </w:pPr>
            <w:r>
              <w:rPr>
                <w:rFonts w:hint="eastAsia"/>
                <w:color w:val="FFFFFF"/>
                <w:kern w:val="0"/>
                <w:szCs w:val="21"/>
                <w:highlight w:val="none"/>
              </w:rPr>
              <w:t>非开挖施工用</w:t>
            </w:r>
          </w:p>
        </w:tc>
      </w:tr>
      <w:tr w14:paraId="22AAE2AD">
        <w:tblPrEx>
          <w:shd w:val="clear" w:color="auto" w:fill="006600"/>
          <w:tblCellMar>
            <w:top w:w="0" w:type="dxa"/>
            <w:left w:w="0" w:type="dxa"/>
            <w:bottom w:w="0" w:type="dxa"/>
            <w:right w:w="0" w:type="dxa"/>
          </w:tblCellMar>
        </w:tblPrEx>
        <w:trPr>
          <w:trHeight w:val="264" w:hRule="atLeast"/>
          <w:tblCellSpacing w:w="6" w:type="dxa"/>
          <w:jc w:val="center"/>
        </w:trPr>
        <w:tc>
          <w:tcPr>
            <w:tcW w:w="4198" w:type="dxa"/>
            <w:tcBorders>
              <w:top w:val="single" w:color="auto" w:sz="4" w:space="0"/>
              <w:left w:val="single" w:color="auto" w:sz="4" w:space="0"/>
              <w:bottom w:val="single" w:color="auto" w:sz="4" w:space="0"/>
              <w:right w:val="single" w:color="auto" w:sz="4" w:space="0"/>
            </w:tcBorders>
            <w:shd w:val="clear" w:color="auto" w:fill="F7FFF7"/>
            <w:vAlign w:val="center"/>
          </w:tcPr>
          <w:p w14:paraId="235F5454">
            <w:pPr>
              <w:widowControl/>
              <w:jc w:val="center"/>
              <w:rPr>
                <w:kern w:val="0"/>
                <w:szCs w:val="21"/>
                <w:highlight w:val="none"/>
              </w:rPr>
            </w:pPr>
            <w:r>
              <w:rPr>
                <w:rFonts w:hint="eastAsia"/>
                <w:kern w:val="0"/>
                <w:szCs w:val="21"/>
                <w:highlight w:val="none"/>
              </w:rPr>
              <w:t>拉伸强度（MPa）</w:t>
            </w:r>
          </w:p>
        </w:tc>
        <w:tc>
          <w:tcPr>
            <w:tcW w:w="1704" w:type="dxa"/>
            <w:tcBorders>
              <w:top w:val="single" w:color="auto" w:sz="4" w:space="0"/>
              <w:left w:val="single" w:color="auto" w:sz="4" w:space="0"/>
              <w:bottom w:val="single" w:color="auto" w:sz="4" w:space="0"/>
              <w:right w:val="single" w:color="auto" w:sz="4" w:space="0"/>
            </w:tcBorders>
            <w:shd w:val="clear" w:color="auto" w:fill="F7FFF7"/>
            <w:vAlign w:val="center"/>
          </w:tcPr>
          <w:p w14:paraId="0048ADEE">
            <w:pPr>
              <w:widowControl/>
              <w:jc w:val="center"/>
              <w:rPr>
                <w:kern w:val="0"/>
                <w:szCs w:val="21"/>
                <w:highlight w:val="none"/>
              </w:rPr>
            </w:pPr>
            <w:r>
              <w:rPr>
                <w:rFonts w:hint="eastAsia"/>
                <w:kern w:val="0"/>
                <w:szCs w:val="21"/>
                <w:highlight w:val="none"/>
              </w:rPr>
              <w:t>≥15</w:t>
            </w:r>
          </w:p>
        </w:tc>
        <w:tc>
          <w:tcPr>
            <w:tcW w:w="2709" w:type="dxa"/>
            <w:tcBorders>
              <w:top w:val="single" w:color="auto" w:sz="4" w:space="0"/>
              <w:left w:val="single" w:color="auto" w:sz="4" w:space="0"/>
              <w:bottom w:val="single" w:color="auto" w:sz="4" w:space="0"/>
              <w:right w:val="single" w:color="auto" w:sz="4" w:space="0"/>
            </w:tcBorders>
            <w:shd w:val="clear" w:color="auto" w:fill="F7FFF7"/>
            <w:vAlign w:val="center"/>
          </w:tcPr>
          <w:p w14:paraId="0B6347E7">
            <w:pPr>
              <w:widowControl/>
              <w:jc w:val="center"/>
              <w:rPr>
                <w:kern w:val="0"/>
                <w:szCs w:val="21"/>
                <w:highlight w:val="none"/>
              </w:rPr>
            </w:pPr>
            <w:r>
              <w:rPr>
                <w:rFonts w:hint="eastAsia"/>
                <w:kern w:val="0"/>
                <w:szCs w:val="21"/>
                <w:highlight w:val="none"/>
              </w:rPr>
              <w:t>≥20</w:t>
            </w:r>
          </w:p>
        </w:tc>
      </w:tr>
      <w:tr w14:paraId="10743A27">
        <w:tblPrEx>
          <w:shd w:val="clear" w:color="auto" w:fill="006600"/>
          <w:tblCellMar>
            <w:top w:w="0" w:type="dxa"/>
            <w:left w:w="0" w:type="dxa"/>
            <w:bottom w:w="0" w:type="dxa"/>
            <w:right w:w="0" w:type="dxa"/>
          </w:tblCellMar>
        </w:tblPrEx>
        <w:trPr>
          <w:trHeight w:val="254" w:hRule="atLeast"/>
          <w:tblCellSpacing w:w="6" w:type="dxa"/>
          <w:jc w:val="center"/>
        </w:trPr>
        <w:tc>
          <w:tcPr>
            <w:tcW w:w="4198" w:type="dxa"/>
            <w:tcBorders>
              <w:top w:val="single" w:color="auto" w:sz="4" w:space="0"/>
              <w:left w:val="single" w:color="auto" w:sz="4" w:space="0"/>
              <w:bottom w:val="single" w:color="auto" w:sz="4" w:space="0"/>
              <w:right w:val="single" w:color="auto" w:sz="4" w:space="0"/>
            </w:tcBorders>
            <w:shd w:val="clear" w:color="auto" w:fill="F7FFF7"/>
            <w:vAlign w:val="center"/>
          </w:tcPr>
          <w:p w14:paraId="2ECFE440">
            <w:pPr>
              <w:widowControl/>
              <w:jc w:val="center"/>
              <w:rPr>
                <w:kern w:val="0"/>
                <w:szCs w:val="21"/>
                <w:highlight w:val="none"/>
              </w:rPr>
            </w:pPr>
            <w:r>
              <w:rPr>
                <w:rFonts w:hint="eastAsia"/>
                <w:kern w:val="0"/>
                <w:szCs w:val="21"/>
                <w:highlight w:val="none"/>
              </w:rPr>
              <w:t>断裂伸长率（%）</w:t>
            </w:r>
          </w:p>
        </w:tc>
        <w:tc>
          <w:tcPr>
            <w:tcW w:w="4425" w:type="dxa"/>
            <w:gridSpan w:val="2"/>
            <w:tcBorders>
              <w:top w:val="single" w:color="auto" w:sz="4" w:space="0"/>
              <w:left w:val="single" w:color="auto" w:sz="4" w:space="0"/>
              <w:bottom w:val="single" w:color="auto" w:sz="4" w:space="0"/>
              <w:right w:val="single" w:color="auto" w:sz="4" w:space="0"/>
            </w:tcBorders>
            <w:shd w:val="clear" w:color="auto" w:fill="F7FFF7"/>
            <w:vAlign w:val="center"/>
          </w:tcPr>
          <w:p w14:paraId="0732E7F2">
            <w:pPr>
              <w:widowControl/>
              <w:jc w:val="center"/>
              <w:rPr>
                <w:kern w:val="0"/>
                <w:szCs w:val="21"/>
                <w:highlight w:val="none"/>
              </w:rPr>
            </w:pPr>
            <w:r>
              <w:rPr>
                <w:rFonts w:hint="eastAsia"/>
                <w:kern w:val="0"/>
                <w:szCs w:val="21"/>
                <w:highlight w:val="none"/>
              </w:rPr>
              <w:t>≥150%</w:t>
            </w:r>
          </w:p>
        </w:tc>
      </w:tr>
      <w:tr w14:paraId="24B4ED13">
        <w:tblPrEx>
          <w:shd w:val="clear" w:color="auto" w:fill="006600"/>
          <w:tblCellMar>
            <w:top w:w="0" w:type="dxa"/>
            <w:left w:w="0" w:type="dxa"/>
            <w:bottom w:w="0" w:type="dxa"/>
            <w:right w:w="0" w:type="dxa"/>
          </w:tblCellMar>
        </w:tblPrEx>
        <w:trPr>
          <w:trHeight w:val="264" w:hRule="atLeast"/>
          <w:tblCellSpacing w:w="6" w:type="dxa"/>
          <w:jc w:val="center"/>
        </w:trPr>
        <w:tc>
          <w:tcPr>
            <w:tcW w:w="4198" w:type="dxa"/>
            <w:tcBorders>
              <w:top w:val="single" w:color="auto" w:sz="4" w:space="0"/>
              <w:left w:val="single" w:color="auto" w:sz="4" w:space="0"/>
              <w:bottom w:val="single" w:color="auto" w:sz="4" w:space="0"/>
              <w:right w:val="single" w:color="auto" w:sz="4" w:space="0"/>
            </w:tcBorders>
            <w:shd w:val="clear" w:color="auto" w:fill="F7FFF7"/>
            <w:vAlign w:val="center"/>
          </w:tcPr>
          <w:p w14:paraId="345A6CBE">
            <w:pPr>
              <w:widowControl/>
              <w:jc w:val="center"/>
              <w:rPr>
                <w:kern w:val="0"/>
                <w:szCs w:val="21"/>
                <w:highlight w:val="none"/>
              </w:rPr>
            </w:pPr>
            <w:r>
              <w:rPr>
                <w:rFonts w:hint="eastAsia"/>
                <w:kern w:val="0"/>
                <w:szCs w:val="21"/>
                <w:highlight w:val="none"/>
              </w:rPr>
              <w:t>扁平试验</w:t>
            </w:r>
          </w:p>
        </w:tc>
        <w:tc>
          <w:tcPr>
            <w:tcW w:w="4425" w:type="dxa"/>
            <w:gridSpan w:val="2"/>
            <w:tcBorders>
              <w:top w:val="single" w:color="auto" w:sz="4" w:space="0"/>
              <w:left w:val="single" w:color="auto" w:sz="4" w:space="0"/>
              <w:bottom w:val="single" w:color="auto" w:sz="4" w:space="0"/>
              <w:right w:val="single" w:color="auto" w:sz="4" w:space="0"/>
            </w:tcBorders>
            <w:shd w:val="clear" w:color="auto" w:fill="F7FFF7"/>
            <w:vAlign w:val="center"/>
          </w:tcPr>
          <w:p w14:paraId="251B62F6">
            <w:pPr>
              <w:widowControl/>
              <w:jc w:val="center"/>
              <w:rPr>
                <w:kern w:val="0"/>
                <w:szCs w:val="21"/>
                <w:highlight w:val="none"/>
              </w:rPr>
            </w:pPr>
            <w:r>
              <w:rPr>
                <w:rFonts w:hint="eastAsia"/>
                <w:kern w:val="0"/>
                <w:szCs w:val="21"/>
                <w:highlight w:val="none"/>
              </w:rPr>
              <w:t>压至管外径的40%无破裂</w:t>
            </w:r>
          </w:p>
        </w:tc>
      </w:tr>
      <w:tr w14:paraId="13BBE22F">
        <w:tblPrEx>
          <w:shd w:val="clear" w:color="auto" w:fill="006600"/>
          <w:tblCellMar>
            <w:top w:w="0" w:type="dxa"/>
            <w:left w:w="0" w:type="dxa"/>
            <w:bottom w:w="0" w:type="dxa"/>
            <w:right w:w="0" w:type="dxa"/>
          </w:tblCellMar>
        </w:tblPrEx>
        <w:trPr>
          <w:trHeight w:val="264" w:hRule="atLeast"/>
          <w:tblCellSpacing w:w="6" w:type="dxa"/>
          <w:jc w:val="center"/>
        </w:trPr>
        <w:tc>
          <w:tcPr>
            <w:tcW w:w="4198" w:type="dxa"/>
            <w:tcBorders>
              <w:top w:val="single" w:color="auto" w:sz="4" w:space="0"/>
              <w:left w:val="single" w:color="auto" w:sz="4" w:space="0"/>
              <w:bottom w:val="single" w:color="auto" w:sz="4" w:space="0"/>
              <w:right w:val="single" w:color="auto" w:sz="4" w:space="0"/>
            </w:tcBorders>
            <w:shd w:val="clear" w:color="auto" w:fill="F7FFF7"/>
            <w:vAlign w:val="center"/>
          </w:tcPr>
          <w:p w14:paraId="7B3BCB34">
            <w:pPr>
              <w:widowControl/>
              <w:jc w:val="center"/>
              <w:rPr>
                <w:kern w:val="0"/>
                <w:szCs w:val="21"/>
                <w:highlight w:val="none"/>
              </w:rPr>
            </w:pPr>
            <w:r>
              <w:rPr>
                <w:rFonts w:hint="eastAsia"/>
                <w:kern w:val="0"/>
                <w:szCs w:val="21"/>
                <w:highlight w:val="none"/>
              </w:rPr>
              <w:t>落锤冲击试验(0℃/8h)</w:t>
            </w:r>
          </w:p>
        </w:tc>
        <w:tc>
          <w:tcPr>
            <w:tcW w:w="4425" w:type="dxa"/>
            <w:gridSpan w:val="2"/>
            <w:tcBorders>
              <w:top w:val="single" w:color="auto" w:sz="4" w:space="0"/>
              <w:left w:val="single" w:color="auto" w:sz="4" w:space="0"/>
              <w:bottom w:val="single" w:color="auto" w:sz="4" w:space="0"/>
              <w:right w:val="single" w:color="auto" w:sz="4" w:space="0"/>
            </w:tcBorders>
            <w:shd w:val="clear" w:color="auto" w:fill="F7FFF7"/>
            <w:vAlign w:val="center"/>
          </w:tcPr>
          <w:p w14:paraId="3456A77F">
            <w:pPr>
              <w:widowControl/>
              <w:jc w:val="center"/>
              <w:rPr>
                <w:kern w:val="0"/>
                <w:szCs w:val="21"/>
                <w:highlight w:val="none"/>
              </w:rPr>
            </w:pPr>
            <w:r>
              <w:rPr>
                <w:rFonts w:hint="eastAsia"/>
                <w:kern w:val="0"/>
                <w:szCs w:val="21"/>
                <w:highlight w:val="none"/>
              </w:rPr>
              <w:t>9/10无破裂</w:t>
            </w:r>
          </w:p>
        </w:tc>
      </w:tr>
      <w:tr w14:paraId="3A0DC3F4">
        <w:tblPrEx>
          <w:shd w:val="clear" w:color="auto" w:fill="006600"/>
          <w:tblCellMar>
            <w:top w:w="0" w:type="dxa"/>
            <w:left w:w="0" w:type="dxa"/>
            <w:bottom w:w="0" w:type="dxa"/>
            <w:right w:w="0" w:type="dxa"/>
          </w:tblCellMar>
        </w:tblPrEx>
        <w:trPr>
          <w:trHeight w:val="264" w:hRule="atLeast"/>
          <w:tblCellSpacing w:w="6" w:type="dxa"/>
          <w:jc w:val="center"/>
        </w:trPr>
        <w:tc>
          <w:tcPr>
            <w:tcW w:w="4198" w:type="dxa"/>
            <w:tcBorders>
              <w:top w:val="single" w:color="auto" w:sz="4" w:space="0"/>
              <w:left w:val="single" w:color="auto" w:sz="4" w:space="0"/>
              <w:bottom w:val="single" w:color="auto" w:sz="4" w:space="0"/>
              <w:right w:val="single" w:color="auto" w:sz="4" w:space="0"/>
            </w:tcBorders>
            <w:shd w:val="clear" w:color="auto" w:fill="F7FFF7"/>
            <w:vAlign w:val="center"/>
          </w:tcPr>
          <w:p w14:paraId="64776380">
            <w:pPr>
              <w:widowControl/>
              <w:jc w:val="center"/>
              <w:rPr>
                <w:kern w:val="0"/>
                <w:szCs w:val="21"/>
                <w:highlight w:val="none"/>
              </w:rPr>
            </w:pPr>
            <w:r>
              <w:rPr>
                <w:rFonts w:hint="eastAsia"/>
                <w:kern w:val="0"/>
                <w:szCs w:val="21"/>
                <w:highlight w:val="none"/>
              </w:rPr>
              <w:t>环刚度（KN/m2)常温下</w:t>
            </w:r>
          </w:p>
        </w:tc>
        <w:tc>
          <w:tcPr>
            <w:tcW w:w="4425" w:type="dxa"/>
            <w:gridSpan w:val="2"/>
            <w:tcBorders>
              <w:top w:val="single" w:color="auto" w:sz="4" w:space="0"/>
              <w:left w:val="single" w:color="auto" w:sz="4" w:space="0"/>
              <w:bottom w:val="single" w:color="auto" w:sz="4" w:space="0"/>
              <w:right w:val="single" w:color="auto" w:sz="4" w:space="0"/>
            </w:tcBorders>
            <w:shd w:val="clear" w:color="auto" w:fill="F7FFF7"/>
            <w:vAlign w:val="center"/>
          </w:tcPr>
          <w:p w14:paraId="65AEF0B0">
            <w:pPr>
              <w:widowControl/>
              <w:jc w:val="center"/>
              <w:rPr>
                <w:kern w:val="0"/>
                <w:szCs w:val="21"/>
                <w:highlight w:val="none"/>
              </w:rPr>
            </w:pPr>
            <w:r>
              <w:rPr>
                <w:rFonts w:hint="eastAsia"/>
                <w:kern w:val="0"/>
                <w:szCs w:val="21"/>
                <w:highlight w:val="none"/>
              </w:rPr>
              <w:t>≥12.0</w:t>
            </w:r>
          </w:p>
        </w:tc>
      </w:tr>
      <w:tr w14:paraId="0E575057">
        <w:tblPrEx>
          <w:shd w:val="clear" w:color="auto" w:fill="006600"/>
          <w:tblCellMar>
            <w:top w:w="0" w:type="dxa"/>
            <w:left w:w="0" w:type="dxa"/>
            <w:bottom w:w="0" w:type="dxa"/>
            <w:right w:w="0" w:type="dxa"/>
          </w:tblCellMar>
        </w:tblPrEx>
        <w:trPr>
          <w:trHeight w:val="264" w:hRule="atLeast"/>
          <w:tblCellSpacing w:w="6" w:type="dxa"/>
          <w:jc w:val="center"/>
        </w:trPr>
        <w:tc>
          <w:tcPr>
            <w:tcW w:w="4198" w:type="dxa"/>
            <w:tcBorders>
              <w:top w:val="single" w:color="auto" w:sz="4" w:space="0"/>
              <w:left w:val="single" w:color="auto" w:sz="4" w:space="0"/>
              <w:bottom w:val="single" w:color="auto" w:sz="4" w:space="0"/>
              <w:right w:val="single" w:color="auto" w:sz="4" w:space="0"/>
            </w:tcBorders>
            <w:shd w:val="clear" w:color="auto" w:fill="F7FFF7"/>
            <w:vAlign w:val="center"/>
          </w:tcPr>
          <w:p w14:paraId="1B5B0AF4">
            <w:pPr>
              <w:widowControl/>
              <w:jc w:val="center"/>
              <w:rPr>
                <w:kern w:val="0"/>
                <w:szCs w:val="21"/>
                <w:highlight w:val="none"/>
              </w:rPr>
            </w:pPr>
            <w:r>
              <w:rPr>
                <w:rFonts w:hint="eastAsia"/>
                <w:kern w:val="0"/>
                <w:szCs w:val="21"/>
                <w:highlight w:val="none"/>
              </w:rPr>
              <w:t>纵向回缩率</w:t>
            </w:r>
          </w:p>
        </w:tc>
        <w:tc>
          <w:tcPr>
            <w:tcW w:w="4425" w:type="dxa"/>
            <w:gridSpan w:val="2"/>
            <w:tcBorders>
              <w:top w:val="single" w:color="auto" w:sz="4" w:space="0"/>
              <w:left w:val="single" w:color="auto" w:sz="4" w:space="0"/>
              <w:bottom w:val="single" w:color="auto" w:sz="4" w:space="0"/>
              <w:right w:val="single" w:color="auto" w:sz="4" w:space="0"/>
            </w:tcBorders>
            <w:shd w:val="clear" w:color="auto" w:fill="F7FFF7"/>
            <w:vAlign w:val="center"/>
          </w:tcPr>
          <w:p w14:paraId="10F76AB4">
            <w:pPr>
              <w:widowControl/>
              <w:jc w:val="center"/>
              <w:rPr>
                <w:kern w:val="0"/>
                <w:szCs w:val="21"/>
                <w:highlight w:val="none"/>
              </w:rPr>
            </w:pPr>
            <w:r>
              <w:rPr>
                <w:rFonts w:hint="eastAsia"/>
                <w:kern w:val="0"/>
                <w:szCs w:val="21"/>
                <w:highlight w:val="none"/>
              </w:rPr>
              <w:t>≤3</w:t>
            </w:r>
          </w:p>
        </w:tc>
      </w:tr>
    </w:tbl>
    <w:p w14:paraId="07E844D3">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管材应标明生产厂家、产品名称及规格。</w:t>
      </w:r>
    </w:p>
    <w:p w14:paraId="5BE029DD">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由于照明工程的特殊性，在管材上需有以米为单位的长度标识及城市照明字样。</w:t>
      </w:r>
    </w:p>
    <w:p w14:paraId="28C9FE77">
      <w:pPr>
        <w:numPr>
          <w:ilvl w:val="0"/>
          <w:numId w:val="0"/>
        </w:numPr>
        <w:tabs>
          <w:tab w:val="left" w:pos="5325"/>
        </w:tabs>
        <w:ind w:leftChars="0"/>
        <w:contextualSpacing/>
        <w:rPr>
          <w:b/>
          <w:szCs w:val="21"/>
          <w:highlight w:val="none"/>
        </w:rPr>
      </w:pPr>
      <w:r>
        <w:rPr>
          <w:rFonts w:hint="eastAsia"/>
          <w:b/>
          <w:szCs w:val="21"/>
          <w:highlight w:val="none"/>
          <w:lang w:eastAsia="zh-CN"/>
        </w:rPr>
        <w:t>（</w:t>
      </w:r>
      <w:r>
        <w:rPr>
          <w:rFonts w:hint="eastAsia"/>
          <w:b/>
          <w:szCs w:val="21"/>
          <w:highlight w:val="none"/>
          <w:lang w:val="en-US" w:eastAsia="zh-CN"/>
        </w:rPr>
        <w:t>三</w:t>
      </w:r>
      <w:r>
        <w:rPr>
          <w:rFonts w:hint="eastAsia"/>
          <w:b/>
          <w:szCs w:val="21"/>
          <w:highlight w:val="none"/>
          <w:lang w:eastAsia="zh-CN"/>
        </w:rPr>
        <w:t>）</w:t>
      </w:r>
      <w:r>
        <w:rPr>
          <w:rFonts w:hint="eastAsia"/>
          <w:b/>
          <w:szCs w:val="21"/>
          <w:highlight w:val="none"/>
        </w:rPr>
        <w:t>采购标的的数量、采购项目交付或者实施的时间和地点；</w:t>
      </w:r>
    </w:p>
    <w:p w14:paraId="1F333E93">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bookmarkStart w:id="97" w:name="OLE_LINK1"/>
      <w:r>
        <w:rPr>
          <w:rFonts w:hint="eastAsia" w:ascii="宋体" w:hAnsi="宋体" w:eastAsia="宋体" w:cs="宋体"/>
          <w:sz w:val="24"/>
          <w:szCs w:val="24"/>
          <w:highlight w:val="none"/>
          <w:lang w:val="en-US" w:eastAsia="zh-CN"/>
        </w:rPr>
        <w:t>1、货物清单</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985"/>
        <w:gridCol w:w="1984"/>
        <w:gridCol w:w="1418"/>
        <w:gridCol w:w="1984"/>
        <w:gridCol w:w="1276"/>
      </w:tblGrid>
      <w:tr w14:paraId="18CBF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04" w:type="dxa"/>
            <w:vAlign w:val="center"/>
          </w:tcPr>
          <w:p w14:paraId="205858D6">
            <w:pPr>
              <w:tabs>
                <w:tab w:val="left" w:pos="5325"/>
              </w:tabs>
              <w:snapToGrid w:val="0"/>
              <w:jc w:val="center"/>
              <w:rPr>
                <w:b/>
                <w:szCs w:val="21"/>
                <w:highlight w:val="none"/>
              </w:rPr>
            </w:pPr>
            <w:r>
              <w:rPr>
                <w:rFonts w:hint="eastAsia"/>
                <w:b/>
                <w:szCs w:val="21"/>
                <w:highlight w:val="none"/>
              </w:rPr>
              <w:t>序号</w:t>
            </w:r>
          </w:p>
        </w:tc>
        <w:tc>
          <w:tcPr>
            <w:tcW w:w="1985" w:type="dxa"/>
            <w:vAlign w:val="center"/>
          </w:tcPr>
          <w:p w14:paraId="0E9B38B0">
            <w:pPr>
              <w:tabs>
                <w:tab w:val="left" w:pos="5325"/>
              </w:tabs>
              <w:snapToGrid w:val="0"/>
              <w:jc w:val="center"/>
              <w:rPr>
                <w:b/>
                <w:szCs w:val="21"/>
                <w:highlight w:val="none"/>
              </w:rPr>
            </w:pPr>
            <w:r>
              <w:rPr>
                <w:rFonts w:hint="eastAsia"/>
                <w:b/>
                <w:szCs w:val="21"/>
                <w:highlight w:val="none"/>
              </w:rPr>
              <w:t>货物名称</w:t>
            </w:r>
          </w:p>
        </w:tc>
        <w:tc>
          <w:tcPr>
            <w:tcW w:w="1984" w:type="dxa"/>
            <w:vAlign w:val="center"/>
          </w:tcPr>
          <w:p w14:paraId="66DB905A">
            <w:pPr>
              <w:tabs>
                <w:tab w:val="left" w:pos="5325"/>
              </w:tabs>
              <w:snapToGrid w:val="0"/>
              <w:jc w:val="center"/>
              <w:rPr>
                <w:b/>
                <w:szCs w:val="21"/>
                <w:highlight w:val="none"/>
              </w:rPr>
            </w:pPr>
            <w:r>
              <w:rPr>
                <w:rFonts w:hint="eastAsia"/>
                <w:b/>
                <w:szCs w:val="21"/>
                <w:highlight w:val="none"/>
              </w:rPr>
              <w:t>规格</w:t>
            </w:r>
          </w:p>
        </w:tc>
        <w:tc>
          <w:tcPr>
            <w:tcW w:w="1418" w:type="dxa"/>
            <w:vAlign w:val="center"/>
          </w:tcPr>
          <w:p w14:paraId="2744BC5E">
            <w:pPr>
              <w:tabs>
                <w:tab w:val="left" w:pos="5325"/>
              </w:tabs>
              <w:snapToGrid w:val="0"/>
              <w:jc w:val="center"/>
              <w:rPr>
                <w:b/>
                <w:szCs w:val="21"/>
                <w:highlight w:val="none"/>
              </w:rPr>
            </w:pPr>
            <w:r>
              <w:rPr>
                <w:rFonts w:hint="eastAsia"/>
                <w:b/>
                <w:szCs w:val="21"/>
                <w:highlight w:val="none"/>
              </w:rPr>
              <w:t>数量（米）</w:t>
            </w:r>
          </w:p>
        </w:tc>
        <w:tc>
          <w:tcPr>
            <w:tcW w:w="1984" w:type="dxa"/>
            <w:vAlign w:val="center"/>
          </w:tcPr>
          <w:p w14:paraId="24AABF10">
            <w:pPr>
              <w:tabs>
                <w:tab w:val="left" w:pos="5325"/>
              </w:tabs>
              <w:snapToGrid w:val="0"/>
              <w:jc w:val="center"/>
              <w:rPr>
                <w:b/>
                <w:szCs w:val="21"/>
                <w:highlight w:val="none"/>
              </w:rPr>
            </w:pPr>
            <w:r>
              <w:rPr>
                <w:rFonts w:hint="eastAsia"/>
                <w:b/>
                <w:szCs w:val="21"/>
                <w:highlight w:val="none"/>
              </w:rPr>
              <w:t>配件</w:t>
            </w:r>
          </w:p>
        </w:tc>
        <w:tc>
          <w:tcPr>
            <w:tcW w:w="1276" w:type="dxa"/>
          </w:tcPr>
          <w:p w14:paraId="2939DE90">
            <w:pPr>
              <w:tabs>
                <w:tab w:val="left" w:pos="5325"/>
              </w:tabs>
              <w:snapToGrid w:val="0"/>
              <w:jc w:val="center"/>
              <w:rPr>
                <w:b/>
                <w:szCs w:val="21"/>
                <w:highlight w:val="none"/>
              </w:rPr>
            </w:pPr>
            <w:r>
              <w:rPr>
                <w:rFonts w:hint="eastAsia"/>
                <w:b/>
                <w:szCs w:val="21"/>
                <w:highlight w:val="none"/>
              </w:rPr>
              <w:t>备注</w:t>
            </w:r>
          </w:p>
        </w:tc>
      </w:tr>
      <w:tr w14:paraId="6F11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04" w:type="dxa"/>
            <w:vAlign w:val="center"/>
          </w:tcPr>
          <w:p w14:paraId="13FC9C1A">
            <w:pPr>
              <w:tabs>
                <w:tab w:val="left" w:pos="5325"/>
              </w:tabs>
              <w:jc w:val="center"/>
              <w:rPr>
                <w:szCs w:val="21"/>
                <w:highlight w:val="none"/>
              </w:rPr>
            </w:pPr>
            <w:r>
              <w:rPr>
                <w:rFonts w:hint="eastAsia"/>
                <w:szCs w:val="21"/>
                <w:highlight w:val="none"/>
              </w:rPr>
              <w:t>1</w:t>
            </w:r>
          </w:p>
        </w:tc>
        <w:tc>
          <w:tcPr>
            <w:tcW w:w="1985" w:type="dxa"/>
            <w:vMerge w:val="restart"/>
            <w:vAlign w:val="center"/>
          </w:tcPr>
          <w:p w14:paraId="30673664">
            <w:pPr>
              <w:jc w:val="center"/>
              <w:rPr>
                <w:kern w:val="0"/>
                <w:szCs w:val="21"/>
                <w:highlight w:val="none"/>
              </w:rPr>
            </w:pPr>
            <w:r>
              <w:rPr>
                <w:rFonts w:hint="eastAsia"/>
                <w:kern w:val="0"/>
                <w:szCs w:val="21"/>
                <w:highlight w:val="none"/>
              </w:rPr>
              <w:t>聚乙烯</w:t>
            </w:r>
          </w:p>
          <w:p w14:paraId="228268EC">
            <w:pPr>
              <w:jc w:val="center"/>
              <w:rPr>
                <w:b/>
                <w:szCs w:val="21"/>
                <w:highlight w:val="none"/>
              </w:rPr>
            </w:pPr>
            <w:r>
              <w:rPr>
                <w:rFonts w:hint="eastAsia"/>
                <w:kern w:val="0"/>
                <w:szCs w:val="21"/>
                <w:highlight w:val="none"/>
              </w:rPr>
              <w:t>树脂白管</w:t>
            </w:r>
          </w:p>
        </w:tc>
        <w:tc>
          <w:tcPr>
            <w:tcW w:w="1984" w:type="dxa"/>
            <w:vAlign w:val="center"/>
          </w:tcPr>
          <w:p w14:paraId="50FC2C98">
            <w:pPr>
              <w:jc w:val="center"/>
              <w:rPr>
                <w:szCs w:val="21"/>
                <w:highlight w:val="none"/>
              </w:rPr>
            </w:pPr>
            <w:r>
              <w:rPr>
                <w:rFonts w:hint="eastAsia"/>
                <w:szCs w:val="21"/>
                <w:highlight w:val="none"/>
              </w:rPr>
              <w:t>PE25管</w:t>
            </w:r>
          </w:p>
        </w:tc>
        <w:tc>
          <w:tcPr>
            <w:tcW w:w="1418" w:type="dxa"/>
            <w:vAlign w:val="center"/>
          </w:tcPr>
          <w:p w14:paraId="3F934372">
            <w:pPr>
              <w:jc w:val="center"/>
              <w:rPr>
                <w:rFonts w:hint="eastAsia"/>
                <w:szCs w:val="21"/>
                <w:highlight w:val="none"/>
              </w:rPr>
            </w:pPr>
            <w:r>
              <w:rPr>
                <w:rFonts w:hint="eastAsia"/>
                <w:szCs w:val="21"/>
                <w:highlight w:val="none"/>
                <w:lang w:val="en-US" w:eastAsia="zh-CN"/>
              </w:rPr>
              <w:t>250</w:t>
            </w:r>
          </w:p>
        </w:tc>
        <w:tc>
          <w:tcPr>
            <w:tcW w:w="1984" w:type="dxa"/>
            <w:vMerge w:val="restart"/>
            <w:vAlign w:val="center"/>
          </w:tcPr>
          <w:p w14:paraId="1C0DE489">
            <w:pPr>
              <w:tabs>
                <w:tab w:val="left" w:pos="5325"/>
              </w:tabs>
              <w:snapToGrid w:val="0"/>
              <w:contextualSpacing/>
              <w:rPr>
                <w:rFonts w:hint="eastAsia" w:eastAsia="宋体"/>
                <w:b/>
                <w:szCs w:val="21"/>
                <w:highlight w:val="none"/>
                <w:lang w:eastAsia="zh-CN"/>
              </w:rPr>
            </w:pPr>
            <w:r>
              <w:rPr>
                <w:rFonts w:hint="eastAsia"/>
                <w:szCs w:val="21"/>
                <w:highlight w:val="none"/>
              </w:rPr>
              <w:t>每50M必须配套30cm长管接头4根（壁厚同相应规格，如PE63接头管同PE63管壁厚）</w:t>
            </w:r>
            <w:r>
              <w:rPr>
                <w:rFonts w:hint="eastAsia"/>
                <w:szCs w:val="21"/>
                <w:highlight w:val="none"/>
                <w:lang w:eastAsia="zh-CN"/>
              </w:rPr>
              <w:t>；</w:t>
            </w:r>
          </w:p>
        </w:tc>
        <w:tc>
          <w:tcPr>
            <w:tcW w:w="1276" w:type="dxa"/>
          </w:tcPr>
          <w:p w14:paraId="06466763">
            <w:pPr>
              <w:tabs>
                <w:tab w:val="left" w:pos="5325"/>
              </w:tabs>
              <w:snapToGrid w:val="0"/>
              <w:contextualSpacing/>
              <w:rPr>
                <w:szCs w:val="21"/>
                <w:highlight w:val="none"/>
              </w:rPr>
            </w:pPr>
          </w:p>
        </w:tc>
      </w:tr>
      <w:tr w14:paraId="7448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0" w:hRule="atLeast"/>
          <w:jc w:val="center"/>
        </w:trPr>
        <w:tc>
          <w:tcPr>
            <w:tcW w:w="704" w:type="dxa"/>
            <w:vAlign w:val="center"/>
          </w:tcPr>
          <w:p w14:paraId="7201273F">
            <w:pPr>
              <w:tabs>
                <w:tab w:val="left" w:pos="5325"/>
              </w:tabs>
              <w:jc w:val="center"/>
              <w:rPr>
                <w:szCs w:val="21"/>
                <w:highlight w:val="none"/>
              </w:rPr>
            </w:pPr>
            <w:r>
              <w:rPr>
                <w:rFonts w:hint="eastAsia"/>
                <w:szCs w:val="21"/>
                <w:highlight w:val="none"/>
              </w:rPr>
              <w:t>2</w:t>
            </w:r>
          </w:p>
        </w:tc>
        <w:tc>
          <w:tcPr>
            <w:tcW w:w="1985" w:type="dxa"/>
            <w:vMerge w:val="continue"/>
            <w:vAlign w:val="center"/>
          </w:tcPr>
          <w:p w14:paraId="1FCA94C6">
            <w:pPr>
              <w:jc w:val="center"/>
              <w:rPr>
                <w:szCs w:val="21"/>
                <w:highlight w:val="none"/>
              </w:rPr>
            </w:pPr>
          </w:p>
        </w:tc>
        <w:tc>
          <w:tcPr>
            <w:tcW w:w="1984" w:type="dxa"/>
            <w:vAlign w:val="center"/>
          </w:tcPr>
          <w:p w14:paraId="0D02A1B8">
            <w:pPr>
              <w:jc w:val="center"/>
              <w:rPr>
                <w:szCs w:val="21"/>
                <w:highlight w:val="none"/>
              </w:rPr>
            </w:pPr>
            <w:r>
              <w:rPr>
                <w:rFonts w:hint="eastAsia"/>
                <w:szCs w:val="21"/>
                <w:highlight w:val="none"/>
              </w:rPr>
              <w:t>PE32管</w:t>
            </w:r>
          </w:p>
        </w:tc>
        <w:tc>
          <w:tcPr>
            <w:tcW w:w="1418" w:type="dxa"/>
            <w:vAlign w:val="center"/>
          </w:tcPr>
          <w:p w14:paraId="46D8C804">
            <w:pPr>
              <w:jc w:val="center"/>
              <w:rPr>
                <w:rFonts w:hint="eastAsia"/>
                <w:szCs w:val="21"/>
                <w:highlight w:val="none"/>
              </w:rPr>
            </w:pPr>
            <w:r>
              <w:rPr>
                <w:rFonts w:hint="eastAsia"/>
                <w:szCs w:val="21"/>
                <w:highlight w:val="none"/>
                <w:lang w:val="en-US" w:eastAsia="zh-CN"/>
              </w:rPr>
              <w:t>6000</w:t>
            </w:r>
          </w:p>
        </w:tc>
        <w:tc>
          <w:tcPr>
            <w:tcW w:w="1984" w:type="dxa"/>
            <w:vMerge w:val="continue"/>
            <w:vAlign w:val="center"/>
          </w:tcPr>
          <w:p w14:paraId="4718D51C">
            <w:pPr>
              <w:tabs>
                <w:tab w:val="left" w:pos="5325"/>
              </w:tabs>
              <w:snapToGrid w:val="0"/>
              <w:contextualSpacing/>
              <w:rPr>
                <w:szCs w:val="21"/>
                <w:highlight w:val="none"/>
              </w:rPr>
            </w:pPr>
          </w:p>
        </w:tc>
        <w:tc>
          <w:tcPr>
            <w:tcW w:w="1276" w:type="dxa"/>
          </w:tcPr>
          <w:p w14:paraId="556A739E">
            <w:pPr>
              <w:tabs>
                <w:tab w:val="left" w:pos="5325"/>
              </w:tabs>
              <w:snapToGrid w:val="0"/>
              <w:contextualSpacing/>
              <w:rPr>
                <w:szCs w:val="21"/>
                <w:highlight w:val="none"/>
              </w:rPr>
            </w:pPr>
          </w:p>
        </w:tc>
      </w:tr>
      <w:tr w14:paraId="1D69C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04" w:type="dxa"/>
            <w:vAlign w:val="center"/>
          </w:tcPr>
          <w:p w14:paraId="78DC9B0B">
            <w:pPr>
              <w:tabs>
                <w:tab w:val="left" w:pos="5325"/>
              </w:tabs>
              <w:jc w:val="center"/>
              <w:rPr>
                <w:szCs w:val="21"/>
                <w:highlight w:val="none"/>
              </w:rPr>
            </w:pPr>
            <w:r>
              <w:rPr>
                <w:szCs w:val="21"/>
                <w:highlight w:val="none"/>
              </w:rPr>
              <w:t>3</w:t>
            </w:r>
          </w:p>
        </w:tc>
        <w:tc>
          <w:tcPr>
            <w:tcW w:w="1985" w:type="dxa"/>
            <w:vMerge w:val="continue"/>
            <w:vAlign w:val="center"/>
          </w:tcPr>
          <w:p w14:paraId="64DE9EF5">
            <w:pPr>
              <w:jc w:val="center"/>
              <w:rPr>
                <w:szCs w:val="21"/>
                <w:highlight w:val="none"/>
              </w:rPr>
            </w:pPr>
          </w:p>
        </w:tc>
        <w:tc>
          <w:tcPr>
            <w:tcW w:w="1984" w:type="dxa"/>
            <w:vAlign w:val="center"/>
          </w:tcPr>
          <w:p w14:paraId="53BC99A8">
            <w:pPr>
              <w:jc w:val="center"/>
              <w:rPr>
                <w:szCs w:val="21"/>
                <w:highlight w:val="none"/>
              </w:rPr>
            </w:pPr>
            <w:r>
              <w:rPr>
                <w:rFonts w:hint="eastAsia"/>
                <w:szCs w:val="21"/>
                <w:highlight w:val="none"/>
              </w:rPr>
              <w:t>PE50管</w:t>
            </w:r>
          </w:p>
        </w:tc>
        <w:tc>
          <w:tcPr>
            <w:tcW w:w="1418" w:type="dxa"/>
            <w:vAlign w:val="center"/>
          </w:tcPr>
          <w:p w14:paraId="2BAF560A">
            <w:pPr>
              <w:jc w:val="center"/>
              <w:rPr>
                <w:rFonts w:hint="eastAsia"/>
                <w:szCs w:val="21"/>
                <w:highlight w:val="none"/>
              </w:rPr>
            </w:pPr>
            <w:r>
              <w:rPr>
                <w:rFonts w:hint="eastAsia"/>
                <w:szCs w:val="21"/>
                <w:highlight w:val="none"/>
                <w:lang w:val="en-US" w:eastAsia="zh-CN"/>
              </w:rPr>
              <w:t>17500</w:t>
            </w:r>
          </w:p>
        </w:tc>
        <w:tc>
          <w:tcPr>
            <w:tcW w:w="1984" w:type="dxa"/>
            <w:vMerge w:val="continue"/>
            <w:vAlign w:val="center"/>
          </w:tcPr>
          <w:p w14:paraId="7AB5E8A9">
            <w:pPr>
              <w:tabs>
                <w:tab w:val="left" w:pos="5325"/>
              </w:tabs>
              <w:jc w:val="center"/>
              <w:rPr>
                <w:szCs w:val="21"/>
                <w:highlight w:val="none"/>
              </w:rPr>
            </w:pPr>
          </w:p>
        </w:tc>
        <w:tc>
          <w:tcPr>
            <w:tcW w:w="1276" w:type="dxa"/>
          </w:tcPr>
          <w:p w14:paraId="15483D38">
            <w:pPr>
              <w:tabs>
                <w:tab w:val="left" w:pos="5325"/>
              </w:tabs>
              <w:jc w:val="center"/>
              <w:rPr>
                <w:rFonts w:hint="eastAsia" w:eastAsia="宋体"/>
                <w:szCs w:val="21"/>
                <w:highlight w:val="none"/>
                <w:lang w:val="en-US" w:eastAsia="zh-CN"/>
              </w:rPr>
            </w:pPr>
            <w:r>
              <w:rPr>
                <w:rFonts w:hint="eastAsia"/>
                <w:szCs w:val="21"/>
                <w:highlight w:val="none"/>
                <w:lang w:val="en-US" w:eastAsia="zh-CN"/>
              </w:rPr>
              <w:t>核心产品</w:t>
            </w:r>
          </w:p>
        </w:tc>
      </w:tr>
      <w:tr w14:paraId="223DD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04" w:type="dxa"/>
            <w:vAlign w:val="center"/>
          </w:tcPr>
          <w:p w14:paraId="038B584D">
            <w:pPr>
              <w:tabs>
                <w:tab w:val="left" w:pos="5325"/>
              </w:tabs>
              <w:jc w:val="center"/>
              <w:rPr>
                <w:szCs w:val="21"/>
                <w:highlight w:val="none"/>
              </w:rPr>
            </w:pPr>
            <w:r>
              <w:rPr>
                <w:szCs w:val="21"/>
                <w:highlight w:val="none"/>
              </w:rPr>
              <w:t>4</w:t>
            </w:r>
          </w:p>
        </w:tc>
        <w:tc>
          <w:tcPr>
            <w:tcW w:w="1985" w:type="dxa"/>
            <w:vMerge w:val="continue"/>
            <w:vAlign w:val="center"/>
          </w:tcPr>
          <w:p w14:paraId="2274251A">
            <w:pPr>
              <w:jc w:val="center"/>
              <w:rPr>
                <w:szCs w:val="21"/>
                <w:highlight w:val="none"/>
              </w:rPr>
            </w:pPr>
          </w:p>
        </w:tc>
        <w:tc>
          <w:tcPr>
            <w:tcW w:w="1984" w:type="dxa"/>
            <w:vAlign w:val="center"/>
          </w:tcPr>
          <w:p w14:paraId="69F70F1F">
            <w:pPr>
              <w:jc w:val="center"/>
              <w:rPr>
                <w:szCs w:val="21"/>
                <w:highlight w:val="none"/>
              </w:rPr>
            </w:pPr>
            <w:r>
              <w:rPr>
                <w:rFonts w:hint="eastAsia"/>
                <w:szCs w:val="21"/>
                <w:highlight w:val="none"/>
              </w:rPr>
              <w:t>PE63管</w:t>
            </w:r>
          </w:p>
        </w:tc>
        <w:tc>
          <w:tcPr>
            <w:tcW w:w="1418" w:type="dxa"/>
            <w:vAlign w:val="center"/>
          </w:tcPr>
          <w:p w14:paraId="4874884D">
            <w:pPr>
              <w:jc w:val="center"/>
              <w:rPr>
                <w:rFonts w:hint="eastAsia"/>
                <w:szCs w:val="21"/>
                <w:highlight w:val="none"/>
              </w:rPr>
            </w:pPr>
            <w:r>
              <w:rPr>
                <w:rFonts w:hint="eastAsia"/>
                <w:szCs w:val="21"/>
                <w:highlight w:val="none"/>
                <w:lang w:val="en-US" w:eastAsia="zh-CN"/>
              </w:rPr>
              <w:t>60000</w:t>
            </w:r>
          </w:p>
        </w:tc>
        <w:tc>
          <w:tcPr>
            <w:tcW w:w="1984" w:type="dxa"/>
            <w:vMerge w:val="continue"/>
            <w:vAlign w:val="center"/>
          </w:tcPr>
          <w:p w14:paraId="514C710C">
            <w:pPr>
              <w:jc w:val="center"/>
              <w:rPr>
                <w:szCs w:val="21"/>
                <w:highlight w:val="none"/>
              </w:rPr>
            </w:pPr>
          </w:p>
        </w:tc>
        <w:tc>
          <w:tcPr>
            <w:tcW w:w="1276" w:type="dxa"/>
          </w:tcPr>
          <w:p w14:paraId="305A571E">
            <w:pPr>
              <w:jc w:val="center"/>
              <w:rPr>
                <w:szCs w:val="21"/>
                <w:highlight w:val="none"/>
              </w:rPr>
            </w:pPr>
            <w:r>
              <w:rPr>
                <w:rFonts w:hint="eastAsia"/>
                <w:szCs w:val="21"/>
                <w:highlight w:val="none"/>
              </w:rPr>
              <w:t>主要标的</w:t>
            </w:r>
          </w:p>
        </w:tc>
      </w:tr>
      <w:tr w14:paraId="23C78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04" w:type="dxa"/>
            <w:vAlign w:val="center"/>
          </w:tcPr>
          <w:p w14:paraId="4F3BB9EB">
            <w:pPr>
              <w:tabs>
                <w:tab w:val="left" w:pos="5325"/>
              </w:tabs>
              <w:jc w:val="center"/>
              <w:rPr>
                <w:szCs w:val="21"/>
                <w:highlight w:val="none"/>
              </w:rPr>
            </w:pPr>
            <w:r>
              <w:rPr>
                <w:szCs w:val="21"/>
                <w:highlight w:val="none"/>
              </w:rPr>
              <w:t>5</w:t>
            </w:r>
          </w:p>
        </w:tc>
        <w:tc>
          <w:tcPr>
            <w:tcW w:w="1985" w:type="dxa"/>
            <w:vMerge w:val="continue"/>
            <w:vAlign w:val="center"/>
          </w:tcPr>
          <w:p w14:paraId="18B61AD0">
            <w:pPr>
              <w:jc w:val="center"/>
              <w:rPr>
                <w:szCs w:val="21"/>
                <w:highlight w:val="none"/>
              </w:rPr>
            </w:pPr>
          </w:p>
        </w:tc>
        <w:tc>
          <w:tcPr>
            <w:tcW w:w="1984" w:type="dxa"/>
            <w:vAlign w:val="center"/>
          </w:tcPr>
          <w:p w14:paraId="7E08ABFE">
            <w:pPr>
              <w:jc w:val="center"/>
              <w:rPr>
                <w:szCs w:val="21"/>
                <w:highlight w:val="none"/>
              </w:rPr>
            </w:pPr>
            <w:r>
              <w:rPr>
                <w:rFonts w:hint="eastAsia"/>
                <w:szCs w:val="21"/>
                <w:highlight w:val="none"/>
              </w:rPr>
              <w:t>PE75管</w:t>
            </w:r>
          </w:p>
        </w:tc>
        <w:tc>
          <w:tcPr>
            <w:tcW w:w="1418" w:type="dxa"/>
            <w:vAlign w:val="center"/>
          </w:tcPr>
          <w:p w14:paraId="1479600D">
            <w:pPr>
              <w:jc w:val="center"/>
              <w:rPr>
                <w:rFonts w:hint="eastAsia"/>
                <w:szCs w:val="21"/>
                <w:highlight w:val="none"/>
              </w:rPr>
            </w:pPr>
            <w:r>
              <w:rPr>
                <w:rFonts w:hint="eastAsia"/>
                <w:szCs w:val="21"/>
                <w:highlight w:val="none"/>
                <w:lang w:val="en-US" w:eastAsia="zh-CN"/>
              </w:rPr>
              <w:t>500</w:t>
            </w:r>
          </w:p>
        </w:tc>
        <w:tc>
          <w:tcPr>
            <w:tcW w:w="1984" w:type="dxa"/>
            <w:vMerge w:val="continue"/>
            <w:vAlign w:val="center"/>
          </w:tcPr>
          <w:p w14:paraId="153769DF">
            <w:pPr>
              <w:jc w:val="center"/>
              <w:rPr>
                <w:szCs w:val="21"/>
                <w:highlight w:val="none"/>
              </w:rPr>
            </w:pPr>
          </w:p>
        </w:tc>
        <w:tc>
          <w:tcPr>
            <w:tcW w:w="1276" w:type="dxa"/>
          </w:tcPr>
          <w:p w14:paraId="59D91821">
            <w:pPr>
              <w:jc w:val="center"/>
              <w:rPr>
                <w:szCs w:val="21"/>
                <w:highlight w:val="none"/>
              </w:rPr>
            </w:pPr>
          </w:p>
        </w:tc>
      </w:tr>
      <w:tr w14:paraId="4FA86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04" w:type="dxa"/>
            <w:vAlign w:val="center"/>
          </w:tcPr>
          <w:p w14:paraId="3FDFC894">
            <w:pPr>
              <w:tabs>
                <w:tab w:val="left" w:pos="5325"/>
              </w:tabs>
              <w:jc w:val="center"/>
              <w:rPr>
                <w:szCs w:val="21"/>
                <w:highlight w:val="none"/>
              </w:rPr>
            </w:pPr>
            <w:r>
              <w:rPr>
                <w:szCs w:val="21"/>
                <w:highlight w:val="none"/>
              </w:rPr>
              <w:t>6</w:t>
            </w:r>
          </w:p>
        </w:tc>
        <w:tc>
          <w:tcPr>
            <w:tcW w:w="1985" w:type="dxa"/>
            <w:vMerge w:val="continue"/>
            <w:vAlign w:val="center"/>
          </w:tcPr>
          <w:p w14:paraId="62A5B0BC">
            <w:pPr>
              <w:jc w:val="center"/>
              <w:rPr>
                <w:szCs w:val="21"/>
                <w:highlight w:val="none"/>
              </w:rPr>
            </w:pPr>
          </w:p>
        </w:tc>
        <w:tc>
          <w:tcPr>
            <w:tcW w:w="1984" w:type="dxa"/>
            <w:vAlign w:val="center"/>
          </w:tcPr>
          <w:p w14:paraId="0810E76B">
            <w:pPr>
              <w:jc w:val="center"/>
              <w:rPr>
                <w:szCs w:val="21"/>
                <w:highlight w:val="none"/>
              </w:rPr>
            </w:pPr>
            <w:r>
              <w:rPr>
                <w:rFonts w:hint="eastAsia"/>
                <w:szCs w:val="21"/>
                <w:highlight w:val="none"/>
              </w:rPr>
              <w:t>PE110管</w:t>
            </w:r>
          </w:p>
        </w:tc>
        <w:tc>
          <w:tcPr>
            <w:tcW w:w="1418" w:type="dxa"/>
            <w:vAlign w:val="center"/>
          </w:tcPr>
          <w:p w14:paraId="5A2D643B">
            <w:pPr>
              <w:jc w:val="center"/>
              <w:rPr>
                <w:rFonts w:hint="eastAsia"/>
                <w:szCs w:val="21"/>
                <w:highlight w:val="none"/>
              </w:rPr>
            </w:pPr>
            <w:r>
              <w:rPr>
                <w:rFonts w:hint="eastAsia"/>
                <w:szCs w:val="21"/>
                <w:highlight w:val="none"/>
                <w:lang w:val="en-US" w:eastAsia="zh-CN"/>
              </w:rPr>
              <w:t>750</w:t>
            </w:r>
          </w:p>
        </w:tc>
        <w:tc>
          <w:tcPr>
            <w:tcW w:w="1984" w:type="dxa"/>
            <w:vMerge w:val="continue"/>
            <w:vAlign w:val="center"/>
          </w:tcPr>
          <w:p w14:paraId="67ADE855">
            <w:pPr>
              <w:jc w:val="center"/>
              <w:rPr>
                <w:szCs w:val="21"/>
                <w:highlight w:val="none"/>
              </w:rPr>
            </w:pPr>
          </w:p>
        </w:tc>
        <w:tc>
          <w:tcPr>
            <w:tcW w:w="1276" w:type="dxa"/>
          </w:tcPr>
          <w:p w14:paraId="77156440">
            <w:pPr>
              <w:jc w:val="center"/>
              <w:rPr>
                <w:szCs w:val="21"/>
                <w:highlight w:val="none"/>
              </w:rPr>
            </w:pPr>
          </w:p>
        </w:tc>
      </w:tr>
      <w:tr w14:paraId="0EDA3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04" w:type="dxa"/>
            <w:vAlign w:val="center"/>
          </w:tcPr>
          <w:p w14:paraId="47933CAA">
            <w:pPr>
              <w:tabs>
                <w:tab w:val="left" w:pos="5325"/>
              </w:tabs>
              <w:jc w:val="center"/>
              <w:rPr>
                <w:szCs w:val="21"/>
                <w:highlight w:val="none"/>
              </w:rPr>
            </w:pPr>
            <w:r>
              <w:rPr>
                <w:szCs w:val="21"/>
                <w:highlight w:val="none"/>
              </w:rPr>
              <w:t>7</w:t>
            </w:r>
          </w:p>
        </w:tc>
        <w:tc>
          <w:tcPr>
            <w:tcW w:w="1985" w:type="dxa"/>
            <w:vMerge w:val="restart"/>
            <w:vAlign w:val="center"/>
          </w:tcPr>
          <w:p w14:paraId="45595520">
            <w:pPr>
              <w:jc w:val="center"/>
              <w:rPr>
                <w:szCs w:val="21"/>
                <w:highlight w:val="none"/>
              </w:rPr>
            </w:pPr>
            <w:r>
              <w:rPr>
                <w:rFonts w:hint="eastAsia"/>
                <w:szCs w:val="21"/>
                <w:highlight w:val="none"/>
              </w:rPr>
              <w:t>聚乙烯树脂白管</w:t>
            </w:r>
          </w:p>
          <w:p w14:paraId="714782F5">
            <w:pPr>
              <w:jc w:val="center"/>
              <w:rPr>
                <w:szCs w:val="21"/>
                <w:highlight w:val="none"/>
              </w:rPr>
            </w:pPr>
            <w:r>
              <w:rPr>
                <w:rFonts w:hint="eastAsia"/>
                <w:szCs w:val="21"/>
                <w:highlight w:val="none"/>
              </w:rPr>
              <w:t>（非开挖施工用）</w:t>
            </w:r>
          </w:p>
        </w:tc>
        <w:tc>
          <w:tcPr>
            <w:tcW w:w="1984" w:type="dxa"/>
            <w:vAlign w:val="center"/>
          </w:tcPr>
          <w:p w14:paraId="4F19207D">
            <w:pPr>
              <w:jc w:val="center"/>
              <w:rPr>
                <w:szCs w:val="21"/>
                <w:highlight w:val="none"/>
              </w:rPr>
            </w:pPr>
            <w:r>
              <w:rPr>
                <w:rFonts w:hint="eastAsia"/>
                <w:szCs w:val="21"/>
                <w:highlight w:val="none"/>
              </w:rPr>
              <w:t>PE63管(非开挖)</w:t>
            </w:r>
          </w:p>
        </w:tc>
        <w:tc>
          <w:tcPr>
            <w:tcW w:w="1418" w:type="dxa"/>
            <w:vAlign w:val="center"/>
          </w:tcPr>
          <w:p w14:paraId="672E19C4">
            <w:pPr>
              <w:jc w:val="center"/>
              <w:rPr>
                <w:rFonts w:hint="eastAsia"/>
                <w:szCs w:val="21"/>
                <w:highlight w:val="none"/>
              </w:rPr>
            </w:pPr>
            <w:r>
              <w:rPr>
                <w:rFonts w:hint="eastAsia"/>
                <w:szCs w:val="21"/>
                <w:highlight w:val="none"/>
                <w:lang w:val="en-US" w:eastAsia="zh-CN"/>
              </w:rPr>
              <w:t>250</w:t>
            </w:r>
          </w:p>
        </w:tc>
        <w:tc>
          <w:tcPr>
            <w:tcW w:w="1984" w:type="dxa"/>
            <w:vMerge w:val="continue"/>
            <w:vAlign w:val="center"/>
          </w:tcPr>
          <w:p w14:paraId="47B91717">
            <w:pPr>
              <w:jc w:val="center"/>
              <w:rPr>
                <w:szCs w:val="21"/>
                <w:highlight w:val="none"/>
              </w:rPr>
            </w:pPr>
          </w:p>
        </w:tc>
        <w:tc>
          <w:tcPr>
            <w:tcW w:w="1276" w:type="dxa"/>
          </w:tcPr>
          <w:p w14:paraId="10DB388F">
            <w:pPr>
              <w:jc w:val="center"/>
              <w:rPr>
                <w:szCs w:val="21"/>
                <w:highlight w:val="none"/>
              </w:rPr>
            </w:pPr>
          </w:p>
        </w:tc>
      </w:tr>
      <w:tr w14:paraId="1CEF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04" w:type="dxa"/>
            <w:vAlign w:val="center"/>
          </w:tcPr>
          <w:p w14:paraId="4DD700E9">
            <w:pPr>
              <w:tabs>
                <w:tab w:val="left" w:pos="5325"/>
              </w:tabs>
              <w:jc w:val="center"/>
              <w:rPr>
                <w:szCs w:val="21"/>
                <w:highlight w:val="none"/>
              </w:rPr>
            </w:pPr>
            <w:r>
              <w:rPr>
                <w:szCs w:val="21"/>
                <w:highlight w:val="none"/>
              </w:rPr>
              <w:t>8</w:t>
            </w:r>
          </w:p>
        </w:tc>
        <w:tc>
          <w:tcPr>
            <w:tcW w:w="1985" w:type="dxa"/>
            <w:vMerge w:val="continue"/>
            <w:vAlign w:val="center"/>
          </w:tcPr>
          <w:p w14:paraId="253612DA">
            <w:pPr>
              <w:jc w:val="center"/>
              <w:rPr>
                <w:szCs w:val="21"/>
                <w:highlight w:val="none"/>
              </w:rPr>
            </w:pPr>
          </w:p>
        </w:tc>
        <w:tc>
          <w:tcPr>
            <w:tcW w:w="1984" w:type="dxa"/>
            <w:vAlign w:val="center"/>
          </w:tcPr>
          <w:p w14:paraId="66BEF4C4">
            <w:pPr>
              <w:jc w:val="center"/>
              <w:rPr>
                <w:szCs w:val="21"/>
                <w:highlight w:val="none"/>
              </w:rPr>
            </w:pPr>
            <w:r>
              <w:rPr>
                <w:rFonts w:hint="eastAsia"/>
                <w:szCs w:val="21"/>
                <w:highlight w:val="none"/>
              </w:rPr>
              <w:t>PE110管(非开挖)</w:t>
            </w:r>
          </w:p>
        </w:tc>
        <w:tc>
          <w:tcPr>
            <w:tcW w:w="1418" w:type="dxa"/>
            <w:vAlign w:val="center"/>
          </w:tcPr>
          <w:p w14:paraId="135DDFCE">
            <w:pPr>
              <w:jc w:val="center"/>
              <w:rPr>
                <w:rFonts w:hint="eastAsia"/>
                <w:szCs w:val="21"/>
                <w:highlight w:val="none"/>
              </w:rPr>
            </w:pPr>
            <w:r>
              <w:rPr>
                <w:rFonts w:hint="eastAsia"/>
                <w:szCs w:val="21"/>
                <w:highlight w:val="none"/>
                <w:lang w:val="en-US" w:eastAsia="zh-CN"/>
              </w:rPr>
              <w:t>250</w:t>
            </w:r>
          </w:p>
        </w:tc>
        <w:tc>
          <w:tcPr>
            <w:tcW w:w="1984" w:type="dxa"/>
            <w:vAlign w:val="center"/>
          </w:tcPr>
          <w:p w14:paraId="73122674">
            <w:pPr>
              <w:jc w:val="center"/>
              <w:rPr>
                <w:szCs w:val="21"/>
                <w:highlight w:val="none"/>
              </w:rPr>
            </w:pPr>
            <w:r>
              <w:rPr>
                <w:rFonts w:hint="eastAsia"/>
                <w:szCs w:val="21"/>
                <w:highlight w:val="none"/>
              </w:rPr>
              <w:t>直径110每根配2个接头</w:t>
            </w:r>
          </w:p>
        </w:tc>
        <w:tc>
          <w:tcPr>
            <w:tcW w:w="1276" w:type="dxa"/>
          </w:tcPr>
          <w:p w14:paraId="01F1CD13">
            <w:pPr>
              <w:jc w:val="center"/>
              <w:rPr>
                <w:szCs w:val="21"/>
                <w:highlight w:val="none"/>
              </w:rPr>
            </w:pPr>
          </w:p>
        </w:tc>
      </w:tr>
      <w:tr w14:paraId="2809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04" w:type="dxa"/>
            <w:vAlign w:val="center"/>
          </w:tcPr>
          <w:p w14:paraId="70714741">
            <w:pPr>
              <w:tabs>
                <w:tab w:val="left" w:pos="5325"/>
              </w:tabs>
              <w:jc w:val="center"/>
              <w:rPr>
                <w:szCs w:val="21"/>
                <w:highlight w:val="none"/>
              </w:rPr>
            </w:pPr>
            <w:r>
              <w:rPr>
                <w:rFonts w:hint="eastAsia"/>
                <w:szCs w:val="21"/>
                <w:highlight w:val="none"/>
              </w:rPr>
              <w:t>备注</w:t>
            </w:r>
          </w:p>
        </w:tc>
        <w:tc>
          <w:tcPr>
            <w:tcW w:w="8647" w:type="dxa"/>
            <w:gridSpan w:val="5"/>
            <w:vAlign w:val="center"/>
          </w:tcPr>
          <w:p w14:paraId="042C7A5D">
            <w:pPr>
              <w:tabs>
                <w:tab w:val="left" w:pos="5325"/>
              </w:tabs>
              <w:jc w:val="left"/>
              <w:rPr>
                <w:szCs w:val="21"/>
                <w:highlight w:val="none"/>
              </w:rPr>
            </w:pPr>
            <w:r>
              <w:rPr>
                <w:rFonts w:hint="eastAsia"/>
                <w:szCs w:val="21"/>
                <w:highlight w:val="none"/>
              </w:rPr>
              <w:t>1、必需满足用于高架混凝土护栏内预埋，中标单位供货时必须考虑环刚度的特护要求，如需增加成本必须考虑在本次报价中。</w:t>
            </w:r>
          </w:p>
          <w:p w14:paraId="314938DE">
            <w:pPr>
              <w:tabs>
                <w:tab w:val="left" w:pos="5325"/>
              </w:tabs>
              <w:jc w:val="left"/>
              <w:rPr>
                <w:szCs w:val="21"/>
                <w:highlight w:val="none"/>
              </w:rPr>
            </w:pPr>
            <w:r>
              <w:rPr>
                <w:rFonts w:hint="eastAsia"/>
                <w:szCs w:val="21"/>
                <w:highlight w:val="none"/>
              </w:rPr>
              <w:t>2、需求量是暂估数量，根据工程实际需要各规格数量间可进行调整。</w:t>
            </w:r>
          </w:p>
          <w:p w14:paraId="3DC9DAB9">
            <w:pPr>
              <w:tabs>
                <w:tab w:val="left" w:pos="5325"/>
              </w:tabs>
              <w:jc w:val="left"/>
              <w:rPr>
                <w:szCs w:val="21"/>
                <w:highlight w:val="none"/>
              </w:rPr>
            </w:pPr>
            <w:r>
              <w:rPr>
                <w:szCs w:val="21"/>
                <w:highlight w:val="none"/>
              </w:rPr>
              <w:t>3</w:t>
            </w:r>
            <w:r>
              <w:rPr>
                <w:rFonts w:hint="eastAsia"/>
                <w:szCs w:val="21"/>
                <w:highlight w:val="none"/>
              </w:rPr>
              <w:t>、不因原材料价格涨跌而进行价格调整，中标单位必需根据工程实际需要进行供货，最终按单位实际采购量进行结算。</w:t>
            </w:r>
          </w:p>
        </w:tc>
      </w:tr>
    </w:tbl>
    <w:p w14:paraId="51401CD9">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2、交货期： 自合同签定之日起7天内开始供货，供货数量必需满足业主工程需要的要求。</w:t>
      </w:r>
    </w:p>
    <w:p w14:paraId="27DB2E75">
      <w:pPr>
        <w:adjustRightInd w:val="0"/>
        <w:snapToGrid w:val="0"/>
        <w:spacing w:line="500" w:lineRule="exact"/>
        <w:ind w:firstLine="480" w:firstLineChars="200"/>
        <w:rPr>
          <w:szCs w:val="21"/>
          <w:highlight w:val="none"/>
        </w:rPr>
      </w:pPr>
      <w:r>
        <w:rPr>
          <w:rFonts w:hint="eastAsia" w:ascii="宋体" w:hAnsi="宋体" w:eastAsia="宋体" w:cs="宋体"/>
          <w:sz w:val="24"/>
          <w:szCs w:val="24"/>
          <w:highlight w:val="none"/>
          <w:lang w:val="en-US" w:eastAsia="zh-CN"/>
        </w:rPr>
        <w:t>3、交货（服务）地点：中标单位送货至南通市城市照明管理处指定的工程地点，并承担包装、运输和装卸费</w:t>
      </w:r>
      <w:r>
        <w:rPr>
          <w:rFonts w:hint="eastAsia"/>
          <w:szCs w:val="21"/>
          <w:highlight w:val="none"/>
        </w:rPr>
        <w:t>用。交付时应同时交付产品的检测报告、产品合格证。（分批次、数量不等、随叫随到）</w:t>
      </w:r>
    </w:p>
    <w:bookmarkEnd w:id="97"/>
    <w:p w14:paraId="5BBFFD10">
      <w:pPr>
        <w:numPr>
          <w:ilvl w:val="0"/>
          <w:numId w:val="0"/>
        </w:numPr>
        <w:tabs>
          <w:tab w:val="left" w:pos="5325"/>
        </w:tabs>
        <w:ind w:leftChars="0"/>
        <w:contextualSpacing/>
        <w:rPr>
          <w:b/>
          <w:szCs w:val="21"/>
          <w:highlight w:val="none"/>
        </w:rPr>
      </w:pPr>
      <w:r>
        <w:rPr>
          <w:rFonts w:hint="eastAsia"/>
          <w:b/>
          <w:szCs w:val="21"/>
          <w:highlight w:val="none"/>
          <w:lang w:eastAsia="zh-CN"/>
        </w:rPr>
        <w:t>（</w:t>
      </w:r>
      <w:r>
        <w:rPr>
          <w:rFonts w:hint="eastAsia"/>
          <w:b/>
          <w:szCs w:val="21"/>
          <w:highlight w:val="none"/>
          <w:lang w:val="en-US" w:eastAsia="zh-CN"/>
        </w:rPr>
        <w:t>四</w:t>
      </w:r>
      <w:r>
        <w:rPr>
          <w:rFonts w:hint="eastAsia"/>
          <w:b/>
          <w:szCs w:val="21"/>
          <w:highlight w:val="none"/>
          <w:lang w:eastAsia="zh-CN"/>
        </w:rPr>
        <w:t>）</w:t>
      </w:r>
      <w:r>
        <w:rPr>
          <w:rFonts w:hint="eastAsia"/>
          <w:b/>
          <w:szCs w:val="21"/>
          <w:highlight w:val="none"/>
        </w:rPr>
        <w:t>采购标的需满足的服务标准、期限、效率等要求</w:t>
      </w:r>
    </w:p>
    <w:p w14:paraId="0A196D00">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bookmarkStart w:id="98" w:name="OLE_LINK4"/>
      <w:r>
        <w:rPr>
          <w:rFonts w:hint="eastAsia" w:ascii="宋体" w:hAnsi="宋体" w:eastAsia="宋体" w:cs="宋体"/>
          <w:sz w:val="24"/>
          <w:szCs w:val="24"/>
          <w:highlight w:val="none"/>
          <w:lang w:val="en-US" w:eastAsia="zh-CN"/>
        </w:rPr>
        <w:t>1、质保期限</w:t>
      </w:r>
    </w:p>
    <w:p w14:paraId="1D9FDC12">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质保期为1年，质保期计算日自抽检验收合格之日开始。在供货3天内，采购单位将通知供应厂商共同组织验收，对通知而未参加的供应厂商视同接受验收结论</w:t>
      </w:r>
      <w:r>
        <w:rPr>
          <w:rFonts w:hint="eastAsia" w:ascii="宋体" w:hAnsi="宋体" w:eastAsia="宋体" w:cs="宋体"/>
          <w:sz w:val="24"/>
          <w:szCs w:val="24"/>
          <w:highlight w:val="none"/>
          <w:lang w:val="en-US" w:eastAsia="zh-CN"/>
        </w:rPr>
        <w:t>。</w:t>
      </w:r>
    </w:p>
    <w:p w14:paraId="2E7C8C62">
      <w:pPr>
        <w:adjustRightInd w:val="0"/>
        <w:snapToGrid w:val="0"/>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2、履约约定</w:t>
      </w:r>
    </w:p>
    <w:p w14:paraId="3DBF9FBD">
      <w:pPr>
        <w:adjustRightInd w:val="0"/>
        <w:snapToGrid w:val="0"/>
        <w:spacing w:line="500" w:lineRule="exact"/>
        <w:ind w:firstLine="480" w:firstLineChars="20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采购单位因成交供应商严重偏离技术标准供货，采购单位要求全部退货的，成交供应商须付给采购单位合同总价款5%的违约金。并根据此次供货情况对采购单位造成的损失进行赔偿。</w:t>
      </w:r>
    </w:p>
    <w:p w14:paraId="37149467">
      <w:pPr>
        <w:adjustRightInd w:val="0"/>
        <w:snapToGrid w:val="0"/>
        <w:spacing w:line="500" w:lineRule="exact"/>
        <w:ind w:firstLine="480" w:firstLineChars="20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在供货过程中，若未按期供货的每延迟1天将按未按期供货货款的1%予以扣减；若供货出现瑕疵但尚未影响使用，按供货货款的1-5%予以扣减。</w:t>
      </w:r>
    </w:p>
    <w:p w14:paraId="67395D9A">
      <w:pPr>
        <w:adjustRightInd w:val="0"/>
        <w:snapToGrid w:val="0"/>
        <w:spacing w:line="500" w:lineRule="exact"/>
        <w:ind w:firstLine="480" w:firstLineChars="20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中标单位如若发生5次及以上不能按期、按质供货采购单位有权单方面停止采购，由此造成的损失由供货单位自行承担。</w:t>
      </w:r>
    </w:p>
    <w:bookmarkEnd w:id="98"/>
    <w:p w14:paraId="098FA49D">
      <w:pPr>
        <w:numPr>
          <w:ilvl w:val="0"/>
          <w:numId w:val="0"/>
        </w:numPr>
        <w:tabs>
          <w:tab w:val="left" w:pos="5325"/>
        </w:tabs>
        <w:ind w:leftChars="0"/>
        <w:contextualSpacing/>
        <w:rPr>
          <w:b/>
          <w:szCs w:val="21"/>
          <w:highlight w:val="none"/>
        </w:rPr>
      </w:pPr>
      <w:r>
        <w:rPr>
          <w:rFonts w:hint="eastAsia"/>
          <w:b/>
          <w:szCs w:val="21"/>
          <w:highlight w:val="none"/>
          <w:lang w:eastAsia="zh-CN"/>
        </w:rPr>
        <w:t>（</w:t>
      </w:r>
      <w:r>
        <w:rPr>
          <w:rFonts w:hint="eastAsia"/>
          <w:b/>
          <w:szCs w:val="21"/>
          <w:highlight w:val="none"/>
          <w:lang w:val="en-US" w:eastAsia="zh-CN"/>
        </w:rPr>
        <w:t>五</w:t>
      </w:r>
      <w:r>
        <w:rPr>
          <w:rFonts w:hint="eastAsia"/>
          <w:b/>
          <w:szCs w:val="21"/>
          <w:highlight w:val="none"/>
          <w:lang w:eastAsia="zh-CN"/>
        </w:rPr>
        <w:t>）</w:t>
      </w:r>
      <w:r>
        <w:rPr>
          <w:rFonts w:hint="eastAsia"/>
          <w:b/>
          <w:szCs w:val="21"/>
          <w:highlight w:val="none"/>
        </w:rPr>
        <w:t>采购标的的验收标准；</w:t>
      </w:r>
    </w:p>
    <w:p w14:paraId="688326A5">
      <w:pPr>
        <w:adjustRightInd w:val="0"/>
        <w:snapToGrid w:val="0"/>
        <w:spacing w:line="500" w:lineRule="exact"/>
        <w:ind w:firstLine="480" w:firstLineChars="200"/>
        <w:rPr>
          <w:rFonts w:hint="eastAsia" w:ascii="宋体" w:hAnsi="宋体" w:eastAsia="宋体" w:cs="宋体"/>
          <w:sz w:val="24"/>
          <w:szCs w:val="24"/>
          <w:highlight w:val="none"/>
        </w:rPr>
      </w:pPr>
      <w:bookmarkStart w:id="99" w:name="OLE_LINK5"/>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YD/T 841.2 地下通信管道用塑料管 第2部分:实壁管。</w:t>
      </w:r>
    </w:p>
    <w:p w14:paraId="4255FD1D">
      <w:pPr>
        <w:adjustRightInd w:val="0"/>
        <w:snapToGrid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DLT 802.7电力电缆用导管技术条件。</w:t>
      </w:r>
    </w:p>
    <w:p w14:paraId="1976E066">
      <w:pPr>
        <w:adjustRightInd w:val="0"/>
        <w:snapToGrid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国家相关标准、行业标准、地方标准或者其他标准、规范。</w:t>
      </w:r>
    </w:p>
    <w:p w14:paraId="3C15724B">
      <w:pPr>
        <w:adjustRightInd w:val="0"/>
        <w:snapToGrid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本文件提出的技术要求。</w:t>
      </w:r>
    </w:p>
    <w:p w14:paraId="284BDF3E">
      <w:pPr>
        <w:adjustRightInd w:val="0"/>
        <w:snapToGrid w:val="0"/>
        <w:spacing w:line="500" w:lineRule="exact"/>
        <w:ind w:firstLine="480" w:firstLineChars="200"/>
        <w:rPr>
          <w:szCs w:val="21"/>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收货验收要求：抽样送检</w:t>
      </w:r>
      <w:r>
        <w:rPr>
          <w:rFonts w:hint="eastAsia"/>
          <w:szCs w:val="21"/>
          <w:highlight w:val="none"/>
        </w:rPr>
        <w:t>。</w:t>
      </w:r>
    </w:p>
    <w:bookmarkEnd w:id="99"/>
    <w:p w14:paraId="5D406EB1">
      <w:pPr>
        <w:numPr>
          <w:ilvl w:val="0"/>
          <w:numId w:val="0"/>
        </w:numPr>
        <w:tabs>
          <w:tab w:val="left" w:pos="5325"/>
        </w:tabs>
        <w:ind w:leftChars="0"/>
        <w:contextualSpacing/>
        <w:rPr>
          <w:b/>
          <w:szCs w:val="21"/>
          <w:highlight w:val="none"/>
        </w:rPr>
      </w:pPr>
      <w:r>
        <w:rPr>
          <w:rFonts w:hint="eastAsia"/>
          <w:b/>
          <w:szCs w:val="21"/>
          <w:highlight w:val="none"/>
          <w:lang w:eastAsia="zh-CN"/>
        </w:rPr>
        <w:t>（</w:t>
      </w:r>
      <w:r>
        <w:rPr>
          <w:rFonts w:hint="eastAsia"/>
          <w:b/>
          <w:szCs w:val="21"/>
          <w:highlight w:val="none"/>
          <w:lang w:val="en-US" w:eastAsia="zh-CN"/>
        </w:rPr>
        <w:t>六</w:t>
      </w:r>
      <w:r>
        <w:rPr>
          <w:rFonts w:hint="eastAsia"/>
          <w:b/>
          <w:szCs w:val="21"/>
          <w:highlight w:val="none"/>
          <w:lang w:eastAsia="zh-CN"/>
        </w:rPr>
        <w:t>）</w:t>
      </w:r>
      <w:r>
        <w:rPr>
          <w:rFonts w:hint="eastAsia"/>
          <w:b/>
          <w:szCs w:val="21"/>
          <w:highlight w:val="none"/>
        </w:rPr>
        <w:t>采购标的的其他技术、服务等要求。</w:t>
      </w:r>
    </w:p>
    <w:p w14:paraId="3FA9FC95">
      <w:pPr>
        <w:adjustRightInd w:val="0"/>
        <w:snapToGrid w:val="0"/>
        <w:spacing w:line="500" w:lineRule="exact"/>
        <w:ind w:firstLine="480" w:firstLineChars="200"/>
        <w:rPr>
          <w:rFonts w:hint="eastAsia" w:ascii="宋体" w:hAnsi="宋体" w:eastAsia="宋体" w:cs="宋体"/>
          <w:sz w:val="24"/>
          <w:szCs w:val="24"/>
          <w:highlight w:val="none"/>
          <w:lang w:val="zh-CN"/>
        </w:rPr>
      </w:pPr>
      <w:bookmarkStart w:id="100" w:name="OLE_LINK6"/>
      <w:r>
        <w:rPr>
          <w:rFonts w:hint="eastAsia" w:ascii="宋体" w:hAnsi="宋体" w:eastAsia="宋体" w:cs="宋体"/>
          <w:sz w:val="24"/>
          <w:szCs w:val="24"/>
          <w:highlight w:val="none"/>
          <w:lang w:val="zh-CN"/>
        </w:rPr>
        <w:t>1、检测报告</w:t>
      </w:r>
    </w:p>
    <w:p w14:paraId="6E97CC26">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供应商提交经由国家专业检测机构出具的检测报告。检测报告内提供的必要检测内容包括：平均外径、壁厚、拉伸强度（MPa）、断裂伸长率（%）、环刚度（KN/m2)、扁平试验、落锤冲击试验(0℃/8h)、纵向回缩率（%）。检测标准需达到技术要求。</w:t>
      </w:r>
    </w:p>
    <w:p w14:paraId="707AF640">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2、须合理报价，</w:t>
      </w:r>
      <w:r>
        <w:rPr>
          <w:rFonts w:hint="eastAsia" w:ascii="宋体" w:hAnsi="宋体" w:eastAsia="宋体" w:cs="宋体"/>
          <w:sz w:val="24"/>
          <w:szCs w:val="24"/>
          <w:highlight w:val="none"/>
        </w:rPr>
        <w:t>聚乙烯树脂白管</w:t>
      </w:r>
      <w:r>
        <w:rPr>
          <w:rFonts w:hint="eastAsia" w:ascii="宋体" w:hAnsi="宋体" w:eastAsia="宋体" w:cs="宋体"/>
          <w:sz w:val="24"/>
          <w:szCs w:val="24"/>
          <w:highlight w:val="none"/>
          <w:lang w:val="zh-CN"/>
        </w:rPr>
        <w:t>单价必须PE25管&lt;PE32管&lt;PE50管&lt;PE63管&lt;PE75管&lt;PE90管&lt;PE110管，若违反作废标处理。</w:t>
      </w:r>
    </w:p>
    <w:p w14:paraId="472746FE">
      <w:pPr>
        <w:adjustRightInd w:val="0"/>
        <w:snapToGrid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3、售后服务及其他</w:t>
      </w:r>
    </w:p>
    <w:p w14:paraId="722FCEF6">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南通市城市照明管理处视工进度情况及时通知送货提前3到5小时。供货单位及时送到南通市城市照明管理处指定工程(由供方负责卸货)。</w:t>
      </w:r>
    </w:p>
    <w:p w14:paraId="7A351C9E">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4、商品包装环保要求</w:t>
      </w:r>
    </w:p>
    <w:p w14:paraId="7761EAFB">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1）商品包装层数不得超过 3 层，空隙率不大于 40%；</w:t>
      </w:r>
    </w:p>
    <w:p w14:paraId="63B83928">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2）商品包装尽可能使用单一材质的包装材料，如因功能需求必需使用不同材质，不同材质间应便于分离；</w:t>
      </w:r>
    </w:p>
    <w:p w14:paraId="1A8EE8D0">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3）商品包装中铅、汞、镉、六价铬的总含量应不大于100mg/kg；</w:t>
      </w:r>
    </w:p>
    <w:p w14:paraId="0C53F633">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4）商品包装印刷使用的油墨中挥发性有机化合物(VOCs)含量应不大于 5%（以重量计）；</w:t>
      </w:r>
    </w:p>
    <w:p w14:paraId="3E3409D6">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5）塑料材质商品包装上呈现的印刷颜色不得超过 6 色；</w:t>
      </w:r>
    </w:p>
    <w:p w14:paraId="12AE4ED3">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6）纸质商品包装应使用 75%以上的可再生纤维原料生产；</w:t>
      </w:r>
    </w:p>
    <w:p w14:paraId="1F520181">
      <w:pPr>
        <w:adjustRightInd w:val="0"/>
        <w:snapToGrid w:val="0"/>
        <w:spacing w:line="500" w:lineRule="exact"/>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7）木质商品包装的原料应来源于可持续性森林。</w:t>
      </w:r>
    </w:p>
    <w:bookmarkEnd w:id="100"/>
    <w:p w14:paraId="0BC8A388">
      <w:pPr>
        <w:adjustRightInd w:val="0"/>
        <w:snapToGrid w:val="0"/>
        <w:spacing w:line="500" w:lineRule="exact"/>
        <w:rPr>
          <w:rFonts w:cs="Times New Roman"/>
          <w:b/>
          <w:sz w:val="24"/>
          <w:szCs w:val="28"/>
          <w:highlight w:val="none"/>
        </w:rPr>
      </w:pPr>
      <w:r>
        <w:rPr>
          <w:rFonts w:hint="eastAsia" w:cs="Times New Roman"/>
          <w:b/>
          <w:sz w:val="24"/>
          <w:szCs w:val="28"/>
          <w:highlight w:val="none"/>
          <w:lang w:eastAsia="zh-CN"/>
        </w:rPr>
        <w:t>（</w:t>
      </w:r>
      <w:r>
        <w:rPr>
          <w:rFonts w:hint="eastAsia" w:cs="Times New Roman"/>
          <w:b/>
          <w:sz w:val="24"/>
          <w:szCs w:val="28"/>
          <w:highlight w:val="none"/>
          <w:lang w:val="en-US" w:eastAsia="zh-CN"/>
        </w:rPr>
        <w:t>七</w:t>
      </w:r>
      <w:r>
        <w:rPr>
          <w:rFonts w:hint="eastAsia" w:cs="Times New Roman"/>
          <w:b/>
          <w:sz w:val="24"/>
          <w:szCs w:val="28"/>
          <w:highlight w:val="none"/>
          <w:lang w:eastAsia="zh-CN"/>
        </w:rPr>
        <w:t>）</w:t>
      </w:r>
      <w:r>
        <w:rPr>
          <w:rFonts w:hint="eastAsia" w:cs="Times New Roman"/>
          <w:b/>
          <w:sz w:val="24"/>
          <w:szCs w:val="28"/>
          <w:highlight w:val="none"/>
        </w:rPr>
        <w:t>采购需求中必须满足的实质性要求（请单独列出）</w:t>
      </w:r>
      <w:r>
        <w:rPr>
          <w:rFonts w:cs="Times New Roman"/>
          <w:b/>
          <w:sz w:val="24"/>
          <w:szCs w:val="28"/>
          <w:highlight w:val="none"/>
        </w:rPr>
        <w:t>;</w:t>
      </w:r>
    </w:p>
    <w:p w14:paraId="46D70FB4">
      <w:pPr>
        <w:adjustRightInd w:val="0"/>
        <w:snapToGrid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须合理报价，聚乙烯树脂白管单价必须PE25管&lt;PE32管&lt;PE50管&lt;PE63管&lt;PE75管&lt;PE90管&lt;PE110管。</w:t>
      </w:r>
    </w:p>
    <w:p w14:paraId="00907382">
      <w:pPr>
        <w:adjustRightInd w:val="0"/>
        <w:snapToGrid w:val="0"/>
        <w:spacing w:line="500" w:lineRule="exact"/>
        <w:rPr>
          <w:rFonts w:cs="Times New Roman"/>
          <w:b/>
          <w:sz w:val="24"/>
          <w:szCs w:val="28"/>
          <w:highlight w:val="none"/>
        </w:rPr>
      </w:pPr>
      <w:r>
        <w:rPr>
          <w:rFonts w:hint="eastAsia" w:cs="Times New Roman"/>
          <w:b/>
          <w:sz w:val="24"/>
          <w:szCs w:val="28"/>
          <w:highlight w:val="none"/>
          <w:lang w:val="en-US" w:eastAsia="zh-CN"/>
        </w:rPr>
        <w:t>三</w:t>
      </w:r>
      <w:r>
        <w:rPr>
          <w:rFonts w:hint="eastAsia" w:cs="Times New Roman"/>
          <w:b/>
          <w:sz w:val="24"/>
          <w:szCs w:val="28"/>
          <w:highlight w:val="none"/>
        </w:rPr>
        <w:t>、</w:t>
      </w:r>
      <w:r>
        <w:rPr>
          <w:rFonts w:cs="Times New Roman"/>
          <w:b/>
          <w:sz w:val="24"/>
          <w:szCs w:val="28"/>
          <w:highlight w:val="none"/>
        </w:rPr>
        <w:t>付款方式</w:t>
      </w:r>
    </w:p>
    <w:p w14:paraId="447C62E1">
      <w:pPr>
        <w:adjustRightInd w:val="0"/>
        <w:snapToGrid w:val="0"/>
        <w:spacing w:line="500" w:lineRule="exact"/>
        <w:ind w:firstLine="480" w:firstLineChars="200"/>
        <w:rPr>
          <w:rFonts w:hint="eastAsia" w:ascii="宋体" w:hAnsi="宋体" w:eastAsia="宋体" w:cs="宋体"/>
          <w:sz w:val="24"/>
          <w:szCs w:val="24"/>
          <w:highlight w:val="none"/>
        </w:rPr>
      </w:pPr>
      <w:bookmarkStart w:id="101" w:name="OLE_LINK7"/>
      <w:r>
        <w:rPr>
          <w:rFonts w:hint="eastAsia" w:ascii="宋体" w:hAnsi="宋体" w:eastAsia="宋体" w:cs="宋体"/>
          <w:sz w:val="24"/>
          <w:szCs w:val="24"/>
          <w:highlight w:val="none"/>
        </w:rPr>
        <w:t>1、合同签订后，支付合同价的30%作为预付款。</w:t>
      </w:r>
    </w:p>
    <w:p w14:paraId="62C83B96">
      <w:pPr>
        <w:adjustRightInd w:val="0"/>
        <w:snapToGrid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2、合同剩余款项结算方式：货物到位并验收合格后付至所供货物金额的50％（招标人优先在预付款额度中抵扣实际发生的应付款项）。12个月后付清余款。</w:t>
      </w:r>
    </w:p>
    <w:p w14:paraId="201A3A84">
      <w:pPr>
        <w:adjustRightInd w:val="0"/>
        <w:snapToGrid w:val="0"/>
        <w:spacing w:line="500" w:lineRule="exact"/>
        <w:ind w:firstLine="480" w:firstLineChars="200"/>
        <w:rPr>
          <w:rFonts w:hint="default" w:hAnsi="宋体" w:cs="宋体"/>
          <w:color w:val="auto"/>
          <w:sz w:val="24"/>
          <w:szCs w:val="24"/>
          <w:highlight w:val="none"/>
          <w:vertAlign w:val="baseline"/>
          <w:lang w:val="en-US" w:eastAsia="zh-CN"/>
        </w:rPr>
      </w:pPr>
      <w:r>
        <w:rPr>
          <w:rFonts w:hint="eastAsia" w:ascii="宋体" w:hAnsi="宋体" w:eastAsia="宋体" w:cs="宋体"/>
          <w:sz w:val="24"/>
          <w:szCs w:val="24"/>
          <w:highlight w:val="none"/>
        </w:rPr>
        <w:t>3、实际支付金额按实际供货量照实结算，款项由采购单位按相关财务支付规定办理支付手续。</w:t>
      </w:r>
      <w:bookmarkEnd w:id="101"/>
    </w:p>
    <w:p w14:paraId="6E71CD91">
      <w:pPr>
        <w:pStyle w:val="278"/>
        <w:spacing w:line="300" w:lineRule="auto"/>
        <w:ind w:firstLine="0"/>
        <w:jc w:val="left"/>
        <w:rPr>
          <w:rFonts w:hint="eastAsia" w:ascii="宋体" w:hAnsi="宋体" w:eastAsia="宋体" w:cs="宋体"/>
          <w:b/>
          <w:bCs/>
          <w:color w:val="auto"/>
          <w:sz w:val="24"/>
          <w:szCs w:val="24"/>
          <w:highlight w:val="none"/>
        </w:rPr>
      </w:pPr>
      <w:r>
        <w:rPr>
          <w:rFonts w:hint="eastAsia" w:ascii="宋体" w:eastAsia="宋体" w:cs="宋体"/>
          <w:b/>
          <w:bCs/>
          <w:color w:val="auto"/>
          <w:sz w:val="24"/>
          <w:szCs w:val="24"/>
          <w:highlight w:val="none"/>
          <w:lang w:val="en-US" w:eastAsia="zh-CN" w:bidi="ar-SA"/>
        </w:rPr>
        <w:t>四</w:t>
      </w:r>
      <w:r>
        <w:rPr>
          <w:rFonts w:hint="eastAsia" w:ascii="宋体" w:hAnsi="宋体" w:eastAsia="宋体" w:cs="宋体"/>
          <w:b/>
          <w:bCs/>
          <w:color w:val="auto"/>
          <w:sz w:val="24"/>
          <w:szCs w:val="24"/>
          <w:highlight w:val="none"/>
          <w:lang w:val="en-US" w:eastAsia="zh-CN" w:bidi="ar-SA"/>
        </w:rPr>
        <w:t>、采购需求中必须满足的实质性要求</w:t>
      </w:r>
    </w:p>
    <w:p w14:paraId="71480A6F">
      <w:pPr>
        <w:spacing w:line="440" w:lineRule="exact"/>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t>4.1技术部分实质性要求</w:t>
      </w:r>
    </w:p>
    <w:p w14:paraId="00908D30">
      <w:pPr>
        <w:keepNext w:val="0"/>
        <w:keepLines w:val="0"/>
        <w:pageBreakBefore w:val="0"/>
        <w:widowControl w:val="0"/>
        <w:spacing w:line="360" w:lineRule="auto"/>
        <w:ind w:firstLine="480"/>
        <w:rPr>
          <w:rFonts w:hint="eastAsia" w:ascii="仿宋" w:hAnsi="仿宋" w:eastAsia="仿宋" w:cs="仿宋"/>
          <w:bCs/>
          <w:i/>
          <w:color w:val="auto"/>
          <w:sz w:val="24"/>
          <w:szCs w:val="24"/>
          <w:highlight w:val="none"/>
          <w:u w:val="single"/>
        </w:rPr>
      </w:pPr>
      <w:r>
        <w:rPr>
          <w:rFonts w:hint="eastAsia" w:ascii="仿宋" w:hAnsi="仿宋" w:eastAsia="仿宋" w:cs="仿宋"/>
          <w:i/>
          <w:iCs/>
          <w:color w:val="auto"/>
          <w:sz w:val="24"/>
          <w:szCs w:val="24"/>
          <w:highlight w:val="none"/>
          <w:u w:val="single"/>
          <w:lang w:eastAsia="zh-CN"/>
        </w:rPr>
        <w:t>（</w:t>
      </w:r>
      <w:r>
        <w:rPr>
          <w:rFonts w:hint="eastAsia" w:ascii="仿宋" w:hAnsi="仿宋" w:eastAsia="仿宋" w:cs="仿宋"/>
          <w:i/>
          <w:iCs/>
          <w:color w:val="auto"/>
          <w:sz w:val="24"/>
          <w:szCs w:val="24"/>
          <w:highlight w:val="none"/>
          <w:u w:val="single"/>
          <w:lang w:val="en-US" w:eastAsia="zh-CN"/>
        </w:rPr>
        <w:t>1</w:t>
      </w:r>
      <w:r>
        <w:rPr>
          <w:rFonts w:hint="eastAsia" w:ascii="仿宋" w:hAnsi="仿宋" w:eastAsia="仿宋" w:cs="仿宋"/>
          <w:i/>
          <w:iCs/>
          <w:color w:val="auto"/>
          <w:sz w:val="24"/>
          <w:szCs w:val="24"/>
          <w:highlight w:val="none"/>
          <w:u w:val="single"/>
          <w:lang w:eastAsia="zh-CN"/>
        </w:rPr>
        <w:t>）</w:t>
      </w:r>
      <w:r>
        <w:rPr>
          <w:rFonts w:hint="eastAsia" w:ascii="仿宋" w:hAnsi="仿宋" w:eastAsia="仿宋" w:cs="仿宋"/>
          <w:bCs/>
          <w:i/>
          <w:color w:val="auto"/>
          <w:sz w:val="24"/>
          <w:szCs w:val="24"/>
          <w:highlight w:val="none"/>
          <w:u w:val="single"/>
          <w:lang w:val="en-US" w:eastAsia="zh-CN" w:bidi="ar-SA"/>
        </w:rPr>
        <w:t>投标人提供承诺，保证中标后能够保质、保量、按时向采购人提供优质服务，中标后认真组织足够的人员、设备进行施工，保证按期保质完成本项目，如投标人的服务不能满足采购人的工期、质量、安全等要求时，须在3个工作日内整改到位；发生两次设备或人员不满足现场工期、质量、安全要求，经整改仍不满足要求的，发包人有权解除合同。</w:t>
      </w:r>
      <w:r>
        <w:rPr>
          <w:rFonts w:hint="eastAsia" w:ascii="宋体" w:hAnsi="宋体"/>
          <w:color w:val="auto"/>
          <w:sz w:val="24"/>
          <w:highlight w:val="none"/>
          <w:lang w:val="en-US" w:eastAsia="zh-CN"/>
        </w:rPr>
        <w:t>（格式自拟）</w:t>
      </w:r>
    </w:p>
    <w:p w14:paraId="709142A5">
      <w:pPr>
        <w:keepNext w:val="0"/>
        <w:keepLines w:val="0"/>
        <w:pageBreakBefore w:val="0"/>
        <w:widowControl w:val="0"/>
        <w:spacing w:line="360" w:lineRule="auto"/>
        <w:rPr>
          <w:rFonts w:hint="eastAsia" w:ascii="仿宋" w:hAnsi="仿宋" w:eastAsia="仿宋" w:cs="仿宋"/>
          <w:b/>
          <w:bCs/>
          <w:i/>
          <w:color w:val="auto"/>
          <w:sz w:val="24"/>
          <w:szCs w:val="24"/>
          <w:highlight w:val="none"/>
          <w:u w:val="single"/>
        </w:rPr>
      </w:pPr>
      <w:r>
        <w:rPr>
          <w:rFonts w:hint="eastAsia" w:ascii="仿宋" w:hAnsi="仿宋" w:eastAsia="仿宋" w:cs="仿宋"/>
          <w:b/>
          <w:i/>
          <w:color w:val="auto"/>
          <w:sz w:val="24"/>
          <w:szCs w:val="24"/>
          <w:highlight w:val="none"/>
          <w:u w:val="single"/>
        </w:rPr>
        <w:t>4.2商务部分实质性要求</w:t>
      </w:r>
    </w:p>
    <w:p w14:paraId="6413F7E9">
      <w:pPr>
        <w:pStyle w:val="278"/>
        <w:keepNext w:val="0"/>
        <w:keepLines w:val="0"/>
        <w:pageBreakBefore w:val="0"/>
        <w:widowControl w:val="0"/>
        <w:spacing w:line="360" w:lineRule="auto"/>
        <w:ind w:firstLine="480"/>
        <w:rPr>
          <w:rFonts w:hint="eastAsia"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（1）</w:t>
      </w:r>
      <w:r>
        <w:rPr>
          <w:rFonts w:hint="eastAsia" w:ascii="仿宋" w:hAnsi="仿宋" w:eastAsia="仿宋" w:cs="仿宋"/>
          <w:bCs/>
          <w:i/>
          <w:color w:val="auto"/>
          <w:sz w:val="24"/>
          <w:szCs w:val="24"/>
          <w:highlight w:val="none"/>
          <w:u w:val="single"/>
          <w:lang w:val="en-US" w:eastAsia="zh-CN" w:bidi="ar-SA"/>
        </w:rPr>
        <w:t>投标人提供承诺，</w:t>
      </w:r>
      <w:r>
        <w:rPr>
          <w:rFonts w:hint="eastAsia" w:ascii="仿宋" w:hAnsi="仿宋" w:eastAsia="仿宋" w:cs="仿宋"/>
          <w:bCs/>
          <w:i/>
          <w:color w:val="auto"/>
          <w:sz w:val="24"/>
          <w:szCs w:val="24"/>
          <w:highlight w:val="none"/>
          <w:u w:val="single"/>
        </w:rPr>
        <w:t>投标人应对</w:t>
      </w:r>
      <w:r>
        <w:rPr>
          <w:rFonts w:hint="eastAsia" w:ascii="仿宋" w:hAnsi="仿宋" w:eastAsia="仿宋" w:cs="仿宋"/>
          <w:bCs/>
          <w:i/>
          <w:color w:val="auto"/>
          <w:sz w:val="24"/>
          <w:szCs w:val="24"/>
          <w:highlight w:val="none"/>
          <w:u w:val="single"/>
          <w:lang w:val="en-US" w:eastAsia="zh-CN"/>
        </w:rPr>
        <w:t>固定综合单价</w:t>
      </w:r>
      <w:r>
        <w:rPr>
          <w:rFonts w:hint="eastAsia" w:ascii="仿宋" w:hAnsi="仿宋" w:eastAsia="仿宋" w:cs="仿宋"/>
          <w:bCs/>
          <w:i/>
          <w:color w:val="auto"/>
          <w:sz w:val="24"/>
          <w:szCs w:val="24"/>
          <w:highlight w:val="none"/>
          <w:u w:val="single"/>
        </w:rPr>
        <w:t>进行报价，</w:t>
      </w:r>
      <w:r>
        <w:rPr>
          <w:rFonts w:hint="eastAsia" w:ascii="仿宋" w:hAnsi="仿宋" w:eastAsia="仿宋" w:cs="仿宋"/>
          <w:bCs/>
          <w:i/>
          <w:color w:val="auto"/>
          <w:sz w:val="24"/>
          <w:szCs w:val="24"/>
          <w:highlight w:val="none"/>
          <w:u w:val="single"/>
          <w:lang w:val="en-US" w:eastAsia="zh-CN"/>
        </w:rPr>
        <w:t>缺项、漏项或者报价超过综合单价最高限价</w:t>
      </w:r>
      <w:r>
        <w:rPr>
          <w:rFonts w:hint="eastAsia" w:ascii="仿宋" w:hAnsi="仿宋" w:eastAsia="仿宋" w:cs="仿宋"/>
          <w:bCs/>
          <w:i/>
          <w:color w:val="auto"/>
          <w:sz w:val="24"/>
          <w:szCs w:val="24"/>
          <w:highlight w:val="none"/>
          <w:u w:val="single"/>
        </w:rPr>
        <w:t>，视为无效</w:t>
      </w:r>
      <w:r>
        <w:rPr>
          <w:rFonts w:hint="eastAsia" w:ascii="仿宋" w:hAnsi="仿宋" w:eastAsia="仿宋" w:cs="仿宋"/>
          <w:bCs/>
          <w:i/>
          <w:color w:val="auto"/>
          <w:sz w:val="24"/>
          <w:szCs w:val="24"/>
          <w:highlight w:val="none"/>
          <w:u w:val="single"/>
          <w:lang w:val="en-US" w:eastAsia="zh-CN"/>
        </w:rPr>
        <w:t>投标</w:t>
      </w:r>
      <w:r>
        <w:rPr>
          <w:rFonts w:hint="eastAsia" w:ascii="仿宋" w:hAnsi="仿宋" w:eastAsia="仿宋" w:cs="仿宋"/>
          <w:bCs/>
          <w:i/>
          <w:color w:val="auto"/>
          <w:sz w:val="24"/>
          <w:szCs w:val="24"/>
          <w:highlight w:val="none"/>
          <w:u w:val="single"/>
        </w:rPr>
        <w:t>。</w:t>
      </w:r>
      <w:r>
        <w:rPr>
          <w:rFonts w:hint="eastAsia" w:ascii="宋体" w:hAnsi="宋体"/>
          <w:color w:val="auto"/>
          <w:sz w:val="24"/>
          <w:highlight w:val="none"/>
          <w:lang w:val="en-US" w:eastAsia="zh-CN"/>
        </w:rPr>
        <w:t>（格式自拟）</w:t>
      </w:r>
    </w:p>
    <w:p w14:paraId="1D1885DB">
      <w:pPr>
        <w:pStyle w:val="278"/>
        <w:keepNext w:val="0"/>
        <w:keepLines w:val="0"/>
        <w:pageBreakBefore w:val="0"/>
        <w:widowControl w:val="0"/>
        <w:spacing w:line="360" w:lineRule="auto"/>
        <w:ind w:firstLine="480"/>
        <w:rPr>
          <w:rFonts w:hint="eastAsia"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（2）</w:t>
      </w:r>
      <w:r>
        <w:rPr>
          <w:rFonts w:hint="eastAsia" w:ascii="仿宋" w:hAnsi="仿宋" w:eastAsia="仿宋" w:cs="仿宋"/>
          <w:bCs/>
          <w:i/>
          <w:color w:val="auto"/>
          <w:sz w:val="24"/>
          <w:szCs w:val="24"/>
          <w:highlight w:val="none"/>
          <w:u w:val="single"/>
          <w:lang w:val="en-US" w:eastAsia="zh-CN" w:bidi="ar-SA"/>
        </w:rPr>
        <w:t>投标人提供承诺，</w:t>
      </w:r>
      <w:r>
        <w:rPr>
          <w:rFonts w:hint="eastAsia" w:ascii="仿宋" w:hAnsi="仿宋" w:eastAsia="仿宋" w:cs="仿宋"/>
          <w:bCs/>
          <w:i/>
          <w:color w:val="auto"/>
          <w:sz w:val="24"/>
          <w:szCs w:val="24"/>
          <w:highlight w:val="none"/>
          <w:u w:val="single"/>
        </w:rPr>
        <w:t>投标人的报价明显低于其他通过符合性审查投标人的报价，有可能影响服务质量或者不能诚信履约的，如不能在合理的时间内证明其报价合理性，视为无效标。</w:t>
      </w:r>
      <w:r>
        <w:rPr>
          <w:rFonts w:hint="eastAsia" w:ascii="宋体" w:hAnsi="宋体"/>
          <w:color w:val="auto"/>
          <w:sz w:val="24"/>
          <w:highlight w:val="none"/>
          <w:lang w:val="en-US" w:eastAsia="zh-CN"/>
        </w:rPr>
        <w:t>（格式自拟）</w:t>
      </w:r>
    </w:p>
    <w:p w14:paraId="7CD17BE2">
      <w:pPr>
        <w:pStyle w:val="278"/>
        <w:keepNext w:val="0"/>
        <w:keepLines w:val="0"/>
        <w:pageBreakBefore w:val="0"/>
        <w:widowControl w:val="0"/>
        <w:spacing w:line="360" w:lineRule="auto"/>
        <w:ind w:firstLine="480"/>
        <w:rPr>
          <w:rFonts w:hint="eastAsia"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（3）</w:t>
      </w:r>
      <w:r>
        <w:rPr>
          <w:rFonts w:hint="eastAsia" w:ascii="仿宋" w:hAnsi="仿宋" w:eastAsia="仿宋" w:cs="仿宋"/>
          <w:bCs/>
          <w:i/>
          <w:color w:val="auto"/>
          <w:sz w:val="24"/>
          <w:szCs w:val="24"/>
          <w:highlight w:val="none"/>
          <w:u w:val="single"/>
          <w:lang w:val="en-US" w:eastAsia="zh-CN" w:bidi="ar-SA"/>
        </w:rPr>
        <w:t>投标人提供承诺，</w:t>
      </w:r>
      <w:r>
        <w:rPr>
          <w:rFonts w:hint="eastAsia" w:ascii="仿宋" w:hAnsi="仿宋" w:eastAsia="仿宋" w:cs="仿宋"/>
          <w:bCs/>
          <w:i/>
          <w:color w:val="auto"/>
          <w:sz w:val="24"/>
          <w:szCs w:val="24"/>
          <w:highlight w:val="none"/>
          <w:u w:val="single"/>
        </w:rPr>
        <w:t>中标单位承诺严格执行南通市用工工资标准的有关规定，并承担其雇员的劳动报酬、福利待遇、按劳动法交纳社会保险、劳动保护、工伤抚恤等用人费用，承担未正常执行劳动法用工规定所产生的法律责任，维护和保障员工的合法权益，因雇员的劳动用工所产生的一切纠纷及人身安全均由中标单位承担。</w:t>
      </w:r>
      <w:r>
        <w:rPr>
          <w:rFonts w:hint="eastAsia" w:ascii="宋体" w:hAnsi="宋体"/>
          <w:color w:val="auto"/>
          <w:sz w:val="24"/>
          <w:highlight w:val="none"/>
          <w:lang w:val="en-US" w:eastAsia="zh-CN"/>
        </w:rPr>
        <w:t>（格式自拟）</w:t>
      </w:r>
    </w:p>
    <w:p w14:paraId="10B89499">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color w:val="auto"/>
          <w:sz w:val="36"/>
          <w:szCs w:val="36"/>
          <w:highlight w:val="none"/>
        </w:rPr>
        <w:t>第四部分 评审方法和评审标准</w:t>
      </w:r>
    </w:p>
    <w:p w14:paraId="230F519C">
      <w:pPr>
        <w:keepNext w:val="0"/>
        <w:keepLines w:val="0"/>
        <w:pageBreakBefore w:val="0"/>
        <w:widowControl w:val="0"/>
        <w:spacing w:line="360" w:lineRule="auto"/>
        <w:ind w:firstLine="482"/>
        <w:jc w:val="left"/>
        <w:rPr>
          <w:rFonts w:ascii="宋体" w:hAnsi="宋体"/>
          <w:b/>
          <w:color w:val="auto"/>
          <w:sz w:val="24"/>
          <w:highlight w:val="none"/>
        </w:rPr>
      </w:pPr>
      <w:r>
        <w:rPr>
          <w:rFonts w:ascii="宋体" w:hAnsi="宋体"/>
          <w:b/>
          <w:color w:val="auto"/>
          <w:sz w:val="24"/>
          <w:highlight w:val="none"/>
        </w:rPr>
        <w:t>一、谈判方式</w:t>
      </w:r>
    </w:p>
    <w:p w14:paraId="3BAFCC97">
      <w:pPr>
        <w:keepNext w:val="0"/>
        <w:keepLines w:val="0"/>
        <w:pageBreakBefore w:val="0"/>
        <w:widowControl w:val="0"/>
        <w:tabs>
          <w:tab w:val="left" w:pos="3585"/>
        </w:tabs>
        <w:spacing w:line="360" w:lineRule="auto"/>
        <w:ind w:firstLine="480"/>
        <w:rPr>
          <w:rFonts w:ascii="宋体" w:hAnsi="宋体"/>
          <w:color w:val="auto"/>
          <w:sz w:val="24"/>
          <w:highlight w:val="none"/>
        </w:rPr>
      </w:pPr>
      <w:r>
        <w:rPr>
          <w:rFonts w:hint="eastAsia" w:ascii="宋体" w:hAnsi="宋体"/>
          <w:color w:val="auto"/>
          <w:sz w:val="24"/>
          <w:highlight w:val="none"/>
        </w:rPr>
        <w:t>不见面远程模式：开标当天各供应商在各自地点通过苏采云系统及时登录不见面开标大厅，参加</w:t>
      </w:r>
      <w:r>
        <w:rPr>
          <w:rFonts w:hint="eastAsia" w:ascii="宋体" w:hAnsi="宋体"/>
          <w:color w:val="auto"/>
          <w:sz w:val="24"/>
          <w:highlight w:val="none"/>
          <w:lang w:val="en-US" w:eastAsia="zh-CN"/>
        </w:rPr>
        <w:t>谈判</w:t>
      </w:r>
      <w:r>
        <w:rPr>
          <w:rFonts w:hint="eastAsia" w:ascii="宋体" w:hAnsi="宋体"/>
          <w:color w:val="auto"/>
          <w:sz w:val="24"/>
          <w:highlight w:val="none"/>
        </w:rPr>
        <w:t>活动。</w:t>
      </w:r>
    </w:p>
    <w:p w14:paraId="3FD42D7D">
      <w:pPr>
        <w:keepNext w:val="0"/>
        <w:keepLines w:val="0"/>
        <w:pageBreakBefore w:val="0"/>
        <w:widowControl w:val="0"/>
        <w:spacing w:line="360" w:lineRule="auto"/>
        <w:ind w:firstLine="482"/>
        <w:jc w:val="left"/>
        <w:rPr>
          <w:rFonts w:ascii="宋体" w:hAnsi="宋体"/>
          <w:b/>
          <w:bCs w:val="0"/>
          <w:color w:val="auto"/>
          <w:sz w:val="24"/>
          <w:highlight w:val="none"/>
        </w:rPr>
      </w:pPr>
      <w:r>
        <w:rPr>
          <w:rFonts w:ascii="宋体" w:hAnsi="宋体"/>
          <w:b/>
          <w:bCs w:val="0"/>
          <w:color w:val="auto"/>
          <w:sz w:val="24"/>
          <w:highlight w:val="none"/>
        </w:rPr>
        <w:t>二、谈判程序及评审方法和标准</w:t>
      </w:r>
    </w:p>
    <w:p w14:paraId="458A1E6A">
      <w:pPr>
        <w:keepNext w:val="0"/>
        <w:keepLines w:val="0"/>
        <w:pageBreakBefore w:val="0"/>
        <w:widowControl w:val="0"/>
        <w:tabs>
          <w:tab w:val="left" w:pos="900"/>
        </w:tabs>
        <w:spacing w:line="360" w:lineRule="auto"/>
        <w:ind w:firstLine="478"/>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highlight w:val="none"/>
          <w:lang w:val="en-US" w:eastAsia="zh-CN"/>
        </w:rPr>
        <w:t>谈判小组</w:t>
      </w:r>
      <w:r>
        <w:rPr>
          <w:rFonts w:ascii="宋体" w:hAnsi="宋体"/>
          <w:color w:val="auto"/>
          <w:sz w:val="24"/>
          <w:highlight w:val="none"/>
        </w:rPr>
        <w:t>审查响应供应商资格，</w:t>
      </w:r>
      <w:r>
        <w:rPr>
          <w:rFonts w:hint="eastAsia" w:ascii="宋体" w:hAnsi="宋体"/>
          <w:color w:val="auto"/>
          <w:sz w:val="24"/>
          <w:szCs w:val="24"/>
          <w:highlight w:val="none"/>
        </w:rPr>
        <w:t>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6AFB5207">
      <w:pPr>
        <w:keepNext w:val="0"/>
        <w:keepLines w:val="0"/>
        <w:pageBreakBefore w:val="0"/>
        <w:widowControl w:val="0"/>
        <w:tabs>
          <w:tab w:val="left" w:pos="900"/>
        </w:tabs>
        <w:spacing w:line="360" w:lineRule="auto"/>
        <w:ind w:firstLine="478"/>
        <w:rPr>
          <w:rFonts w:hint="eastAsia" w:ascii="宋体" w:hAnsi="宋体"/>
          <w:color w:val="auto"/>
          <w:sz w:val="24"/>
          <w:szCs w:val="24"/>
          <w:highlight w:val="none"/>
        </w:rPr>
      </w:pPr>
      <w:r>
        <w:rPr>
          <w:rFonts w:hint="eastAsia" w:ascii="宋体" w:hAnsi="宋体"/>
          <w:color w:val="auto"/>
          <w:sz w:val="24"/>
          <w:szCs w:val="24"/>
          <w:highlight w:val="none"/>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46DDF3AC">
      <w:pPr>
        <w:keepNext w:val="0"/>
        <w:keepLines w:val="0"/>
        <w:pageBreakBefore w:val="0"/>
        <w:widowControl w:val="0"/>
        <w:tabs>
          <w:tab w:val="left" w:pos="900"/>
        </w:tabs>
        <w:spacing w:line="360" w:lineRule="auto"/>
        <w:ind w:firstLine="478"/>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2、商务技术部分评审结束后进入最后报价（即最终报价，下同）环节，最后报价将作为评审价。</w:t>
      </w:r>
    </w:p>
    <w:p w14:paraId="581BA498">
      <w:pPr>
        <w:keepNext w:val="0"/>
        <w:keepLines w:val="0"/>
        <w:pageBreakBefore w:val="0"/>
        <w:widowControl w:val="0"/>
        <w:tabs>
          <w:tab w:val="left" w:pos="900"/>
        </w:tabs>
        <w:spacing w:line="360" w:lineRule="auto"/>
        <w:ind w:firstLine="478"/>
        <w:rPr>
          <w:rFonts w:hint="eastAsia" w:ascii="宋体" w:hAnsi="宋体"/>
          <w:color w:val="auto"/>
          <w:sz w:val="24"/>
          <w:szCs w:val="24"/>
          <w:highlight w:val="none"/>
        </w:rPr>
      </w:pPr>
      <w:r>
        <w:rPr>
          <w:rFonts w:ascii="宋体" w:hAnsi="宋体"/>
          <w:color w:val="auto"/>
          <w:sz w:val="24"/>
          <w:szCs w:val="24"/>
          <w:highlight w:val="none"/>
        </w:rPr>
        <w:t>谈判文件能够详细列明采购标的的技术、服务要求的，谈判结束后，谈判小组</w:t>
      </w:r>
      <w:r>
        <w:rPr>
          <w:rFonts w:hint="eastAsia" w:ascii="宋体" w:hAnsi="宋体"/>
          <w:color w:val="auto"/>
          <w:sz w:val="24"/>
          <w:szCs w:val="24"/>
          <w:highlight w:val="none"/>
        </w:rPr>
        <w:t>将在苏采云系统向所有</w:t>
      </w:r>
      <w:r>
        <w:rPr>
          <w:rFonts w:ascii="宋体" w:hAnsi="宋体"/>
          <w:color w:val="auto"/>
          <w:sz w:val="24"/>
          <w:szCs w:val="24"/>
          <w:highlight w:val="none"/>
        </w:rPr>
        <w:t>实质性响应的供应商</w:t>
      </w:r>
      <w:r>
        <w:rPr>
          <w:rFonts w:hint="eastAsia" w:ascii="宋体" w:hAnsi="宋体"/>
          <w:color w:val="auto"/>
          <w:sz w:val="24"/>
          <w:szCs w:val="24"/>
          <w:highlight w:val="none"/>
        </w:rPr>
        <w:t>发布“最后报价要求函”及最后报价格式表，</w:t>
      </w:r>
      <w:r>
        <w:rPr>
          <w:rFonts w:ascii="宋体" w:hAnsi="宋体"/>
          <w:color w:val="auto"/>
          <w:sz w:val="24"/>
          <w:szCs w:val="24"/>
          <w:highlight w:val="none"/>
        </w:rPr>
        <w:t>要求所有实质性响应的供应商在</w:t>
      </w:r>
      <w:r>
        <w:rPr>
          <w:rFonts w:hint="eastAsia" w:ascii="宋体" w:hAnsi="宋体" w:cs="宋体"/>
          <w:b/>
          <w:bCs w:val="0"/>
          <w:color w:val="auto"/>
          <w:sz w:val="24"/>
          <w:szCs w:val="24"/>
          <w:highlight w:val="none"/>
          <w:lang w:val="en-US" w:eastAsia="zh-CN"/>
        </w:rPr>
        <w:t>20</w:t>
      </w:r>
      <w:r>
        <w:rPr>
          <w:rFonts w:hint="eastAsia" w:ascii="宋体" w:hAnsi="宋体" w:eastAsia="宋体" w:cs="宋体"/>
          <w:b/>
          <w:bCs w:val="0"/>
          <w:color w:val="auto"/>
          <w:sz w:val="24"/>
          <w:szCs w:val="24"/>
          <w:highlight w:val="none"/>
          <w:lang w:val="en-US" w:eastAsia="en-US"/>
        </w:rPr>
        <w:t>分钟内</w:t>
      </w:r>
      <w:r>
        <w:rPr>
          <w:rFonts w:ascii="宋体" w:hAnsi="宋体"/>
          <w:color w:val="auto"/>
          <w:sz w:val="24"/>
          <w:szCs w:val="24"/>
          <w:highlight w:val="none"/>
        </w:rPr>
        <w:t>提交最后报价。</w:t>
      </w:r>
    </w:p>
    <w:p w14:paraId="0481E0F0">
      <w:pPr>
        <w:keepNext w:val="0"/>
        <w:keepLines w:val="0"/>
        <w:pageBreakBefore w:val="0"/>
        <w:widowControl w:val="0"/>
        <w:tabs>
          <w:tab w:val="left" w:pos="900"/>
        </w:tabs>
        <w:spacing w:line="360" w:lineRule="auto"/>
        <w:ind w:firstLine="478"/>
        <w:rPr>
          <w:rFonts w:hint="eastAsia" w:ascii="宋体" w:hAnsi="宋体"/>
          <w:color w:val="auto"/>
          <w:sz w:val="24"/>
          <w:szCs w:val="24"/>
          <w:highlight w:val="none"/>
        </w:rPr>
      </w:pPr>
      <w:r>
        <w:rPr>
          <w:rFonts w:hint="eastAsia" w:ascii="宋体" w:hAnsi="宋体"/>
          <w:color w:val="auto"/>
          <w:sz w:val="24"/>
          <w:szCs w:val="24"/>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w:t>
      </w:r>
      <w:r>
        <w:rPr>
          <w:rFonts w:hint="eastAsia" w:ascii="宋体" w:hAnsi="宋体" w:cs="宋体"/>
          <w:b/>
          <w:bCs w:val="0"/>
          <w:color w:val="auto"/>
          <w:sz w:val="24"/>
          <w:szCs w:val="24"/>
          <w:highlight w:val="none"/>
          <w:lang w:val="en-US" w:eastAsia="zh-CN"/>
        </w:rPr>
        <w:t>20</w:t>
      </w:r>
      <w:r>
        <w:rPr>
          <w:rFonts w:hint="eastAsia" w:ascii="宋体" w:hAnsi="宋体" w:eastAsia="宋体" w:cs="宋体"/>
          <w:b/>
          <w:bCs w:val="0"/>
          <w:color w:val="auto"/>
          <w:sz w:val="24"/>
          <w:szCs w:val="24"/>
          <w:highlight w:val="none"/>
          <w:lang w:val="en-US" w:eastAsia="en-US"/>
        </w:rPr>
        <w:t>分钟内</w:t>
      </w:r>
      <w:r>
        <w:rPr>
          <w:rFonts w:hint="eastAsia" w:ascii="宋体" w:hAnsi="宋体"/>
          <w:color w:val="auto"/>
          <w:sz w:val="24"/>
          <w:szCs w:val="24"/>
          <w:highlight w:val="none"/>
        </w:rPr>
        <w:t>提交最后报价。</w:t>
      </w:r>
    </w:p>
    <w:p w14:paraId="2D714498">
      <w:pPr>
        <w:keepNext w:val="0"/>
        <w:keepLines w:val="0"/>
        <w:pageBreakBefore w:val="0"/>
        <w:widowControl w:val="0"/>
        <w:spacing w:line="360" w:lineRule="auto"/>
        <w:ind w:firstLine="482"/>
        <w:rPr>
          <w:rFonts w:hint="eastAsia" w:ascii="宋体" w:hAnsi="宋体"/>
          <w:color w:val="auto"/>
          <w:sz w:val="24"/>
          <w:highlight w:val="none"/>
          <w:lang w:val="en-US"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供应商未在谈判小组规定的时间内在苏采云系统中提交最后报价的视为放弃谈判，其响应文件按无效响应处理，最后报价格式表须加盖CA电子公章,否则视为未提交最后报价。</w:t>
      </w:r>
      <w:r>
        <w:rPr>
          <w:rFonts w:ascii="宋体" w:hAnsi="宋体"/>
          <w:color w:val="auto"/>
          <w:sz w:val="24"/>
          <w:szCs w:val="24"/>
          <w:highlight w:val="none"/>
        </w:rPr>
        <w:t>已提交响应文件的供应商，在提交最后报价之前，可以根据谈判情况退出谈判</w:t>
      </w:r>
      <w:r>
        <w:rPr>
          <w:rFonts w:hint="eastAsia" w:ascii="宋体" w:hAnsi="宋体"/>
          <w:color w:val="auto"/>
          <w:sz w:val="24"/>
          <w:szCs w:val="24"/>
          <w:highlight w:val="none"/>
        </w:rPr>
        <w:t>，并在苏采云系统中提交“退出谈判函”并加盖CA电子公章</w:t>
      </w:r>
      <w:r>
        <w:rPr>
          <w:rFonts w:ascii="宋体" w:hAnsi="宋体"/>
          <w:color w:val="auto"/>
          <w:sz w:val="24"/>
          <w:szCs w:val="24"/>
          <w:highlight w:val="none"/>
        </w:rPr>
        <w:t>。</w:t>
      </w:r>
    </w:p>
    <w:p w14:paraId="16235716">
      <w:pPr>
        <w:keepNext w:val="0"/>
        <w:keepLines w:val="0"/>
        <w:pageBreakBefore w:val="0"/>
        <w:widowControl w:val="0"/>
        <w:spacing w:line="360" w:lineRule="auto"/>
        <w:ind w:firstLine="482"/>
        <w:rPr>
          <w:rFonts w:ascii="宋体" w:hAnsi="宋体"/>
          <w:color w:val="auto"/>
          <w:sz w:val="24"/>
          <w:highlight w:val="none"/>
        </w:rPr>
      </w:pPr>
      <w:r>
        <w:rPr>
          <w:rFonts w:hint="eastAsia" w:ascii="宋体" w:hAnsi="宋体"/>
          <w:color w:val="auto"/>
          <w:sz w:val="24"/>
          <w:highlight w:val="none"/>
          <w:lang w:val="en-US" w:eastAsia="zh-CN"/>
        </w:rPr>
        <w:t>4、</w:t>
      </w:r>
      <w:r>
        <w:rPr>
          <w:rFonts w:ascii="宋体" w:hAnsi="宋体"/>
          <w:bCs/>
          <w:color w:val="auto"/>
          <w:sz w:val="24"/>
          <w:highlight w:val="none"/>
        </w:rPr>
        <w:t>最后报价是供应商响应文件的有效组成部分，提交最后报价的供应商不得少于3家</w:t>
      </w:r>
      <w:r>
        <w:rPr>
          <w:rFonts w:ascii="宋体" w:hAnsi="宋体"/>
          <w:color w:val="auto"/>
          <w:sz w:val="24"/>
          <w:highlight w:val="none"/>
        </w:rPr>
        <w:t>。</w:t>
      </w:r>
    </w:p>
    <w:p w14:paraId="77ED404C">
      <w:pPr>
        <w:keepNext w:val="0"/>
        <w:keepLines w:val="0"/>
        <w:pageBreakBefore w:val="0"/>
        <w:widowControl w:val="0"/>
        <w:tabs>
          <w:tab w:val="left" w:pos="900"/>
        </w:tabs>
        <w:spacing w:line="360" w:lineRule="auto"/>
        <w:ind w:firstLine="482"/>
        <w:rPr>
          <w:rFonts w:ascii="宋体" w:hAnsi="宋体"/>
          <w:bCs/>
          <w:color w:val="auto"/>
          <w:sz w:val="24"/>
          <w:highlight w:val="none"/>
        </w:rPr>
      </w:pPr>
      <w:r>
        <w:rPr>
          <w:rFonts w:hint="eastAsia" w:ascii="宋体" w:hAnsi="宋体"/>
          <w:bCs/>
          <w:color w:val="auto"/>
          <w:sz w:val="24"/>
          <w:highlight w:val="none"/>
          <w:lang w:val="en-US" w:eastAsia="zh-CN"/>
        </w:rPr>
        <w:t>5、</w:t>
      </w:r>
      <w:r>
        <w:rPr>
          <w:rFonts w:hint="eastAsia" w:ascii="宋体" w:hAnsi="宋体"/>
          <w:color w:val="auto"/>
          <w:sz w:val="24"/>
          <w:highlight w:val="none"/>
        </w:rPr>
        <w:t>采用最低评标价法的，评标结果按</w:t>
      </w:r>
      <w:r>
        <w:rPr>
          <w:rFonts w:hint="eastAsia" w:ascii="宋体" w:hAnsi="宋体"/>
          <w:color w:val="auto"/>
          <w:sz w:val="24"/>
          <w:highlight w:val="none"/>
          <w:lang w:val="en-US" w:eastAsia="zh-CN"/>
        </w:rPr>
        <w:t>最后</w:t>
      </w:r>
      <w:r>
        <w:rPr>
          <w:rFonts w:hint="eastAsia" w:ascii="宋体" w:hAnsi="宋体"/>
          <w:color w:val="auto"/>
          <w:sz w:val="24"/>
          <w:highlight w:val="none"/>
        </w:rPr>
        <w:t>报价由低到高顺序排列。</w:t>
      </w:r>
      <w:r>
        <w:rPr>
          <w:rFonts w:hint="eastAsia" w:ascii="宋体" w:hAnsi="宋体"/>
          <w:color w:val="auto"/>
          <w:sz w:val="24"/>
          <w:highlight w:val="none"/>
          <w:lang w:val="en-US" w:eastAsia="zh-CN"/>
        </w:rPr>
        <w:t>谈判响应</w:t>
      </w:r>
      <w:r>
        <w:rPr>
          <w:rFonts w:hint="eastAsia" w:ascii="宋体" w:hAnsi="宋体"/>
          <w:color w:val="auto"/>
          <w:sz w:val="24"/>
          <w:highlight w:val="none"/>
        </w:rPr>
        <w:t>文件满足</w:t>
      </w:r>
      <w:r>
        <w:rPr>
          <w:rFonts w:hint="eastAsia" w:ascii="宋体" w:hAnsi="宋体"/>
          <w:color w:val="auto"/>
          <w:sz w:val="24"/>
          <w:highlight w:val="none"/>
          <w:lang w:val="en-US" w:eastAsia="zh-CN"/>
        </w:rPr>
        <w:t>谈判</w:t>
      </w:r>
      <w:r>
        <w:rPr>
          <w:rFonts w:hint="eastAsia" w:ascii="宋体" w:hAnsi="宋体"/>
          <w:color w:val="auto"/>
          <w:sz w:val="24"/>
          <w:highlight w:val="none"/>
        </w:rPr>
        <w:t>文件全部实质性要求且</w:t>
      </w:r>
      <w:r>
        <w:rPr>
          <w:rFonts w:hint="eastAsia" w:ascii="宋体" w:hAnsi="宋体"/>
          <w:color w:val="auto"/>
          <w:sz w:val="24"/>
          <w:highlight w:val="none"/>
          <w:lang w:val="en-US" w:eastAsia="zh-CN"/>
        </w:rPr>
        <w:t>最后</w:t>
      </w:r>
      <w:r>
        <w:rPr>
          <w:rFonts w:hint="eastAsia" w:ascii="宋体" w:hAnsi="宋体"/>
          <w:color w:val="auto"/>
          <w:sz w:val="24"/>
          <w:highlight w:val="none"/>
        </w:rPr>
        <w:t>报价最低的</w:t>
      </w:r>
      <w:r>
        <w:rPr>
          <w:rFonts w:hint="eastAsia" w:ascii="宋体" w:hAnsi="宋体"/>
          <w:color w:val="auto"/>
          <w:sz w:val="24"/>
          <w:highlight w:val="none"/>
          <w:lang w:val="en-US" w:eastAsia="zh-CN"/>
        </w:rPr>
        <w:t>供应商</w:t>
      </w:r>
      <w:r>
        <w:rPr>
          <w:rFonts w:hint="eastAsia" w:ascii="宋体" w:hAnsi="宋体"/>
          <w:color w:val="auto"/>
          <w:sz w:val="24"/>
          <w:highlight w:val="none"/>
        </w:rPr>
        <w:t>为排名第一的</w:t>
      </w:r>
      <w:r>
        <w:rPr>
          <w:rFonts w:hint="eastAsia" w:ascii="宋体" w:hAnsi="宋体"/>
          <w:color w:val="auto"/>
          <w:sz w:val="24"/>
          <w:highlight w:val="none"/>
          <w:lang w:val="en-US" w:eastAsia="zh-CN"/>
        </w:rPr>
        <w:t>成交</w:t>
      </w:r>
      <w:r>
        <w:rPr>
          <w:rFonts w:hint="eastAsia" w:ascii="宋体" w:hAnsi="宋体"/>
          <w:color w:val="auto"/>
          <w:sz w:val="24"/>
          <w:highlight w:val="none"/>
        </w:rPr>
        <w:t>候选人。</w:t>
      </w:r>
      <w:r>
        <w:rPr>
          <w:rFonts w:hint="eastAsia" w:ascii="宋体" w:hAnsi="宋体"/>
          <w:color w:val="auto"/>
          <w:sz w:val="24"/>
          <w:highlight w:val="none"/>
          <w:lang w:eastAsia="zh-CN"/>
        </w:rPr>
        <w:t>最后报价最低且</w:t>
      </w:r>
      <w:r>
        <w:rPr>
          <w:rFonts w:hint="eastAsia" w:ascii="宋体" w:hAnsi="宋体"/>
          <w:color w:val="auto"/>
          <w:sz w:val="24"/>
          <w:highlight w:val="none"/>
        </w:rPr>
        <w:t>报价相同的</w:t>
      </w:r>
      <w:r>
        <w:rPr>
          <w:rFonts w:hint="eastAsia" w:ascii="宋体" w:hAnsi="宋体"/>
          <w:color w:val="auto"/>
          <w:sz w:val="24"/>
          <w:highlight w:val="none"/>
          <w:lang w:eastAsia="zh-CN"/>
        </w:rPr>
        <w:t>供应商大于</w:t>
      </w:r>
      <w:r>
        <w:rPr>
          <w:rFonts w:hint="eastAsia" w:ascii="宋体" w:hAnsi="宋体"/>
          <w:color w:val="auto"/>
          <w:sz w:val="24"/>
          <w:highlight w:val="none"/>
          <w:lang w:val="en-US" w:eastAsia="zh-CN"/>
        </w:rPr>
        <w:t>1家，由谈判小组采取抽签方式确定成交候选人</w:t>
      </w:r>
      <w:r>
        <w:rPr>
          <w:rFonts w:hint="eastAsia" w:ascii="宋体" w:hAnsi="宋体"/>
          <w:color w:val="auto"/>
          <w:sz w:val="24"/>
          <w:highlight w:val="none"/>
        </w:rPr>
        <w:t>。本项目选取1家</w:t>
      </w:r>
      <w:r>
        <w:rPr>
          <w:rFonts w:hint="eastAsia" w:ascii="宋体" w:hAnsi="宋体"/>
          <w:color w:val="auto"/>
          <w:sz w:val="24"/>
          <w:highlight w:val="none"/>
          <w:lang w:val="en-US" w:eastAsia="zh-CN"/>
        </w:rPr>
        <w:t>成交</w:t>
      </w:r>
      <w:r>
        <w:rPr>
          <w:rFonts w:hint="eastAsia" w:ascii="宋体" w:hAnsi="宋体"/>
          <w:color w:val="auto"/>
          <w:sz w:val="24"/>
          <w:highlight w:val="none"/>
        </w:rPr>
        <w:t>候选人</w:t>
      </w:r>
      <w:r>
        <w:rPr>
          <w:rFonts w:ascii="宋体" w:hAnsi="宋体"/>
          <w:bCs/>
          <w:color w:val="auto"/>
          <w:sz w:val="24"/>
          <w:highlight w:val="none"/>
        </w:rPr>
        <w:t>。</w:t>
      </w:r>
    </w:p>
    <w:p w14:paraId="65AB6BA8">
      <w:pPr>
        <w:keepNext w:val="0"/>
        <w:keepLines w:val="0"/>
        <w:pageBreakBefore w:val="0"/>
        <w:widowControl w:val="0"/>
        <w:spacing w:line="360" w:lineRule="auto"/>
        <w:ind w:firstLine="482"/>
        <w:rPr>
          <w:rFonts w:ascii="宋体" w:hAnsi="宋体"/>
          <w:bCs/>
          <w:color w:val="auto"/>
          <w:sz w:val="24"/>
          <w:highlight w:val="none"/>
        </w:rPr>
      </w:pPr>
      <w:r>
        <w:rPr>
          <w:rFonts w:hint="eastAsia" w:ascii="宋体" w:hAnsi="宋体"/>
          <w:bCs/>
          <w:color w:val="auto"/>
          <w:sz w:val="24"/>
          <w:highlight w:val="none"/>
          <w:lang w:val="en-US" w:eastAsia="zh-CN"/>
        </w:rPr>
        <w:t>6、</w:t>
      </w:r>
      <w:r>
        <w:rPr>
          <w:rFonts w:ascii="宋体" w:hAnsi="宋体"/>
          <w:bCs/>
          <w:color w:val="auto"/>
          <w:sz w:val="24"/>
          <w:highlight w:val="none"/>
        </w:rPr>
        <w:t>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p>
    <w:p w14:paraId="7069808E">
      <w:pPr>
        <w:keepNext w:val="0"/>
        <w:keepLines w:val="0"/>
        <w:pageBreakBefore w:val="0"/>
        <w:widowControl w:val="0"/>
        <w:spacing w:line="360" w:lineRule="auto"/>
        <w:ind w:firstLine="480"/>
        <w:rPr>
          <w:rFonts w:ascii="宋体" w:hAnsi="宋体"/>
          <w:color w:val="auto"/>
          <w:sz w:val="24"/>
          <w:highlight w:val="none"/>
        </w:rPr>
      </w:pPr>
      <w:r>
        <w:rPr>
          <w:rFonts w:ascii="宋体" w:hAnsi="宋体"/>
          <w:color w:val="auto"/>
          <w:sz w:val="24"/>
          <w:highlight w:val="none"/>
        </w:rPr>
        <w:t>评委在认真审阅响应文件的基础上，根据各响应文件的响应程度独立评判。</w:t>
      </w:r>
    </w:p>
    <w:p w14:paraId="4BFA9189">
      <w:pPr>
        <w:keepNext w:val="0"/>
        <w:keepLines w:val="0"/>
        <w:pageBreakBefore w:val="0"/>
        <w:widowControl w:val="0"/>
        <w:spacing w:line="360" w:lineRule="auto"/>
        <w:ind w:firstLine="482"/>
        <w:rPr>
          <w:rFonts w:ascii="宋体" w:hAnsi="宋体"/>
          <w:b/>
          <w:color w:val="auto"/>
          <w:sz w:val="24"/>
          <w:highlight w:val="none"/>
        </w:rPr>
      </w:pPr>
      <w:r>
        <w:rPr>
          <w:rFonts w:ascii="宋体" w:hAnsi="宋体"/>
          <w:b/>
          <w:color w:val="auto"/>
          <w:sz w:val="24"/>
          <w:highlight w:val="none"/>
        </w:rPr>
        <w:t>（一）</w:t>
      </w:r>
      <w:r>
        <w:rPr>
          <w:rFonts w:hint="eastAsia" w:ascii="宋体" w:hAnsi="宋体"/>
          <w:b/>
          <w:color w:val="auto"/>
          <w:sz w:val="24"/>
          <w:highlight w:val="none"/>
          <w:lang w:val="en-US" w:eastAsia="zh-CN"/>
        </w:rPr>
        <w:t>谈判小组</w:t>
      </w:r>
      <w:r>
        <w:rPr>
          <w:rFonts w:ascii="宋体" w:hAnsi="宋体"/>
          <w:b/>
          <w:color w:val="auto"/>
          <w:sz w:val="24"/>
          <w:highlight w:val="none"/>
        </w:rPr>
        <w:t>对供应商资格进行审查。</w:t>
      </w:r>
    </w:p>
    <w:p w14:paraId="2E6ACBC3">
      <w:pPr>
        <w:keepNext w:val="0"/>
        <w:keepLines w:val="0"/>
        <w:pageBreakBefore w:val="0"/>
        <w:widowControl w:val="0"/>
        <w:spacing w:line="360" w:lineRule="auto"/>
        <w:ind w:firstLine="480"/>
        <w:rPr>
          <w:rFonts w:ascii="宋体" w:hAnsi="宋体"/>
          <w:color w:val="auto"/>
          <w:sz w:val="24"/>
          <w:highlight w:val="none"/>
        </w:rPr>
      </w:pPr>
      <w:r>
        <w:rPr>
          <w:rFonts w:ascii="宋体" w:hAnsi="宋体"/>
          <w:color w:val="auto"/>
          <w:sz w:val="24"/>
          <w:highlight w:val="none"/>
        </w:rPr>
        <w:t>供应商资格不合格的，其响应文件判定为无效响应文件。</w:t>
      </w:r>
    </w:p>
    <w:p w14:paraId="0A422A46">
      <w:pPr>
        <w:keepNext w:val="0"/>
        <w:keepLines w:val="0"/>
        <w:pageBreakBefore w:val="0"/>
        <w:widowControl w:val="0"/>
        <w:spacing w:line="360" w:lineRule="auto"/>
        <w:ind w:firstLine="482"/>
        <w:jc w:val="left"/>
        <w:rPr>
          <w:rFonts w:ascii="宋体" w:hAnsi="宋体"/>
          <w:b/>
          <w:color w:val="auto"/>
          <w:sz w:val="24"/>
          <w:highlight w:val="none"/>
        </w:rPr>
      </w:pPr>
      <w:r>
        <w:rPr>
          <w:rFonts w:ascii="宋体" w:hAnsi="宋体"/>
          <w:b/>
          <w:color w:val="auto"/>
          <w:sz w:val="24"/>
          <w:highlight w:val="none"/>
        </w:rPr>
        <w:t>（二）谈判小组对符合资格供应商的响应文件进行符合性审查。</w:t>
      </w:r>
    </w:p>
    <w:tbl>
      <w:tblPr>
        <w:tblStyle w:val="32"/>
        <w:tblW w:w="78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7027"/>
      </w:tblGrid>
      <w:tr w14:paraId="38DEB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851" w:type="dxa"/>
            <w:noWrap w:val="0"/>
            <w:vAlign w:val="center"/>
          </w:tcPr>
          <w:p w14:paraId="5446B5AE">
            <w:pPr>
              <w:keepNext w:val="0"/>
              <w:keepLines w:val="0"/>
              <w:pageBreakBefore w:val="0"/>
              <w:widowControl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7027" w:type="dxa"/>
            <w:noWrap w:val="0"/>
            <w:vAlign w:val="center"/>
          </w:tcPr>
          <w:p w14:paraId="3375E388">
            <w:pPr>
              <w:keepNext w:val="0"/>
              <w:keepLines w:val="0"/>
              <w:pageBreakBefore w:val="0"/>
              <w:widowControl w:val="0"/>
              <w:spacing w:line="360" w:lineRule="auto"/>
              <w:jc w:val="center"/>
              <w:rPr>
                <w:rFonts w:ascii="宋体" w:hAnsi="宋体" w:cs="宋体"/>
                <w:b/>
                <w:bCs/>
                <w:color w:val="auto"/>
                <w:sz w:val="24"/>
                <w:highlight w:val="none"/>
              </w:rPr>
            </w:pPr>
            <w:r>
              <w:rPr>
                <w:rFonts w:hint="eastAsia" w:ascii="宋体" w:hAnsi="宋体" w:cs="宋体"/>
                <w:b/>
                <w:bCs/>
                <w:color w:val="auto"/>
                <w:sz w:val="24"/>
                <w:highlight w:val="none"/>
              </w:rPr>
              <w:t>竞争性谈判响应评审内容</w:t>
            </w:r>
          </w:p>
        </w:tc>
      </w:tr>
      <w:tr w14:paraId="453F8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1" w:type="dxa"/>
            <w:noWrap w:val="0"/>
            <w:vAlign w:val="center"/>
          </w:tcPr>
          <w:p w14:paraId="7BD9B4D6">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1</w:t>
            </w:r>
          </w:p>
        </w:tc>
        <w:tc>
          <w:tcPr>
            <w:tcW w:w="7027" w:type="dxa"/>
            <w:noWrap w:val="0"/>
            <w:vAlign w:val="center"/>
          </w:tcPr>
          <w:p w14:paraId="0980A953">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技术部分实质性要求</w:t>
            </w:r>
          </w:p>
          <w:p w14:paraId="761ED941">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投标人提供承诺，保证中标后能够保质、保量、按时向采购人提供优质服务，中标后认真组织足够的人员、设备进行施工，保证按期保质完成本项目，如投标人的服务不能满足采购人的工期、质量、安全等要求时，须在3个工作日内整改到位；发生两次设备或人员不满足现场工期、质量、安全要求，经整改仍不满足要求的，发包人有权解除合同。（格式自拟）</w:t>
            </w:r>
          </w:p>
        </w:tc>
      </w:tr>
      <w:tr w14:paraId="63BCE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51" w:type="dxa"/>
            <w:noWrap w:val="0"/>
            <w:vAlign w:val="center"/>
          </w:tcPr>
          <w:p w14:paraId="71B3DD37">
            <w:pPr>
              <w:keepNext w:val="0"/>
              <w:keepLines w:val="0"/>
              <w:pageBreakBefore w:val="0"/>
              <w:widowControl w:val="0"/>
              <w:spacing w:line="360" w:lineRule="auto"/>
              <w:ind w:firstLine="48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w:t>
            </w:r>
          </w:p>
        </w:tc>
        <w:tc>
          <w:tcPr>
            <w:tcW w:w="7027" w:type="dxa"/>
            <w:noWrap w:val="0"/>
            <w:vAlign w:val="center"/>
          </w:tcPr>
          <w:p w14:paraId="020B4B21">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商务部分实质性要求</w:t>
            </w:r>
          </w:p>
          <w:p w14:paraId="6171A8D0">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投标人提供承诺，</w:t>
            </w:r>
            <w:r>
              <w:rPr>
                <w:rFonts w:hint="eastAsia" w:ascii="宋体" w:hAnsi="宋体"/>
                <w:color w:val="auto"/>
                <w:sz w:val="24"/>
                <w:highlight w:val="none"/>
              </w:rPr>
              <w:t>投标人应对</w:t>
            </w:r>
            <w:r>
              <w:rPr>
                <w:rFonts w:hint="eastAsia" w:ascii="宋体" w:hAnsi="宋体"/>
                <w:color w:val="auto"/>
                <w:sz w:val="24"/>
                <w:highlight w:val="none"/>
                <w:lang w:val="en-US" w:eastAsia="zh-CN"/>
              </w:rPr>
              <w:t>固定综合单价</w:t>
            </w:r>
            <w:r>
              <w:rPr>
                <w:rFonts w:hint="eastAsia" w:ascii="宋体" w:hAnsi="宋体"/>
                <w:color w:val="auto"/>
                <w:sz w:val="24"/>
                <w:highlight w:val="none"/>
              </w:rPr>
              <w:t>进行报价，</w:t>
            </w:r>
            <w:r>
              <w:rPr>
                <w:rFonts w:hint="eastAsia" w:ascii="宋体" w:hAnsi="宋体"/>
                <w:color w:val="auto"/>
                <w:sz w:val="24"/>
                <w:highlight w:val="none"/>
                <w:lang w:val="en-US" w:eastAsia="zh-CN"/>
              </w:rPr>
              <w:t>缺项、漏项或者报价超过综合单价最高限价</w:t>
            </w:r>
            <w:r>
              <w:rPr>
                <w:rFonts w:hint="eastAsia" w:ascii="宋体" w:hAnsi="宋体"/>
                <w:color w:val="auto"/>
                <w:sz w:val="24"/>
                <w:highlight w:val="none"/>
              </w:rPr>
              <w:t>，视为无效</w:t>
            </w:r>
            <w:r>
              <w:rPr>
                <w:rFonts w:hint="eastAsia" w:ascii="宋体" w:hAnsi="宋体"/>
                <w:color w:val="auto"/>
                <w:sz w:val="24"/>
                <w:highlight w:val="none"/>
                <w:lang w:val="en-US" w:eastAsia="zh-CN"/>
              </w:rPr>
              <w:t>投标</w:t>
            </w:r>
            <w:r>
              <w:rPr>
                <w:rFonts w:hint="eastAsia" w:ascii="宋体" w:hAnsi="宋体"/>
                <w:color w:val="auto"/>
                <w:sz w:val="24"/>
                <w:highlight w:val="none"/>
              </w:rPr>
              <w:t>。</w:t>
            </w:r>
            <w:r>
              <w:rPr>
                <w:rFonts w:hint="eastAsia" w:ascii="宋体" w:hAnsi="宋体"/>
                <w:color w:val="auto"/>
                <w:sz w:val="24"/>
                <w:highlight w:val="none"/>
                <w:lang w:val="en-US" w:eastAsia="zh-CN"/>
              </w:rPr>
              <w:t>（格式自拟）</w:t>
            </w:r>
          </w:p>
          <w:p w14:paraId="6E12C17A">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投标人提供承诺，</w:t>
            </w:r>
            <w:r>
              <w:rPr>
                <w:rFonts w:hint="eastAsia" w:ascii="宋体" w:hAnsi="宋体"/>
                <w:color w:val="auto"/>
                <w:sz w:val="24"/>
                <w:highlight w:val="none"/>
              </w:rPr>
              <w:t>投标人的报价明显低于其他通过符合性审查投标人的报价，有可能影响服务质量或者不能诚信履约的，如不能在合理的时间内证明其报价合理性，视为无效标。</w:t>
            </w:r>
            <w:r>
              <w:rPr>
                <w:rFonts w:hint="eastAsia" w:ascii="宋体" w:hAnsi="宋体"/>
                <w:color w:val="auto"/>
                <w:sz w:val="24"/>
                <w:highlight w:val="none"/>
                <w:lang w:val="en-US" w:eastAsia="zh-CN"/>
              </w:rPr>
              <w:t>（格式自拟）</w:t>
            </w:r>
          </w:p>
          <w:p w14:paraId="6894176B">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投标人提供承诺，</w:t>
            </w:r>
            <w:r>
              <w:rPr>
                <w:rFonts w:hint="eastAsia" w:ascii="宋体" w:hAnsi="宋体"/>
                <w:color w:val="auto"/>
                <w:sz w:val="24"/>
                <w:highlight w:val="none"/>
              </w:rPr>
              <w:t>中标单位承诺严格执行南通市用工工资标准的有关规定，并承担其雇员的劳动报酬、福利待遇、按劳动法交纳社会保险、劳动保护、工伤抚恤等用人费用，承担未正常执行劳动法用工规定所产生的法律责任，维护和保障员工的合法权益，因雇员的劳动用工所产生的一切纠纷及人身安全均由中标单位承担。</w:t>
            </w:r>
            <w:r>
              <w:rPr>
                <w:rFonts w:hint="eastAsia" w:ascii="宋体" w:hAnsi="宋体"/>
                <w:color w:val="auto"/>
                <w:sz w:val="24"/>
                <w:highlight w:val="none"/>
                <w:lang w:val="en-US" w:eastAsia="zh-CN"/>
              </w:rPr>
              <w:t>（格式自拟）</w:t>
            </w:r>
          </w:p>
        </w:tc>
      </w:tr>
    </w:tbl>
    <w:p w14:paraId="70DB7195">
      <w:pPr>
        <w:keepNext w:val="0"/>
        <w:keepLines w:val="0"/>
        <w:pageBreakBefore w:val="0"/>
        <w:widowControl w:val="0"/>
        <w:spacing w:line="360" w:lineRule="auto"/>
        <w:ind w:firstLine="480"/>
        <w:rPr>
          <w:rFonts w:ascii="宋体" w:hAnsi="宋体"/>
          <w:color w:val="auto"/>
          <w:sz w:val="24"/>
          <w:highlight w:val="none"/>
        </w:rPr>
      </w:pPr>
      <w:r>
        <w:rPr>
          <w:rFonts w:ascii="宋体" w:hAnsi="宋体"/>
          <w:color w:val="auto"/>
          <w:sz w:val="24"/>
          <w:highlight w:val="none"/>
        </w:rPr>
        <w:t xml:space="preserve">未通过符合性审查的响应文件，将被判为不满足谈判文件实质性要求。 </w:t>
      </w:r>
    </w:p>
    <w:p w14:paraId="5D3F7B97">
      <w:pPr>
        <w:spacing w:line="480" w:lineRule="exact"/>
        <w:ind w:firstLine="480"/>
        <w:rPr>
          <w:rFonts w:ascii="宋体" w:hAnsi="宋体" w:cs="宋体"/>
          <w:b/>
          <w:color w:val="auto"/>
          <w:kern w:val="0"/>
          <w:sz w:val="24"/>
          <w:szCs w:val="24"/>
          <w:highlight w:val="none"/>
        </w:rPr>
      </w:pPr>
      <w:r>
        <w:rPr>
          <w:rFonts w:hint="eastAsia" w:ascii="宋体" w:hAnsi="宋体" w:cs="宋体"/>
          <w:b/>
          <w:color w:val="auto"/>
          <w:kern w:val="0"/>
          <w:sz w:val="24"/>
          <w:szCs w:val="24"/>
          <w:highlight w:val="none"/>
          <w:lang w:eastAsia="zh-CN"/>
        </w:rPr>
        <w:t>（</w:t>
      </w:r>
      <w:r>
        <w:rPr>
          <w:rFonts w:hint="eastAsia" w:ascii="宋体" w:hAnsi="宋体" w:cs="宋体"/>
          <w:b/>
          <w:color w:val="auto"/>
          <w:kern w:val="0"/>
          <w:sz w:val="24"/>
          <w:szCs w:val="24"/>
          <w:highlight w:val="none"/>
          <w:lang w:val="en-US" w:eastAsia="zh-CN"/>
        </w:rPr>
        <w:t>三</w:t>
      </w:r>
      <w:r>
        <w:rPr>
          <w:rFonts w:hint="eastAsia" w:ascii="宋体" w:hAnsi="宋体" w:cs="宋体"/>
          <w:b/>
          <w:color w:val="auto"/>
          <w:kern w:val="0"/>
          <w:sz w:val="24"/>
          <w:szCs w:val="24"/>
          <w:highlight w:val="none"/>
          <w:lang w:eastAsia="zh-CN"/>
        </w:rPr>
        <w:t>）</w:t>
      </w:r>
      <w:r>
        <w:rPr>
          <w:rFonts w:hint="eastAsia" w:ascii="宋体" w:hAnsi="宋体" w:cs="宋体"/>
          <w:b/>
          <w:color w:val="auto"/>
          <w:kern w:val="0"/>
          <w:sz w:val="24"/>
          <w:szCs w:val="24"/>
          <w:highlight w:val="none"/>
        </w:rPr>
        <w:t>针对投标价格合理性的评审</w:t>
      </w:r>
    </w:p>
    <w:p w14:paraId="377B6F05">
      <w:pPr>
        <w:spacing w:line="460" w:lineRule="exact"/>
        <w:ind w:firstLine="542" w:firstLineChars="225"/>
        <w:rPr>
          <w:rFonts w:hint="eastAsia" w:ascii="宋体" w:hAnsi="宋体" w:eastAsia="宋体" w:cs="Times New Roman"/>
          <w:b/>
          <w:bCs/>
          <w:sz w:val="24"/>
          <w:highlight w:val="none"/>
        </w:rPr>
      </w:pPr>
      <w:r>
        <w:rPr>
          <w:rFonts w:hint="eastAsia" w:ascii="宋体" w:hAnsi="宋体" w:eastAsia="宋体" w:cs="Times New Roman"/>
          <w:b/>
          <w:bCs/>
          <w:sz w:val="24"/>
          <w:highlight w:val="none"/>
        </w:rPr>
        <w:t>评审委员会启动异常低价投标（响应）审查的情形和具体要求：</w:t>
      </w:r>
    </w:p>
    <w:p w14:paraId="6ECF5BA3">
      <w:pPr>
        <w:spacing w:line="460" w:lineRule="exact"/>
        <w:ind w:firstLine="540" w:firstLineChars="225"/>
        <w:rPr>
          <w:rFonts w:hint="eastAsia" w:ascii="宋体" w:hAnsi="宋体" w:eastAsia="宋体" w:cs="Times New Roman"/>
          <w:sz w:val="24"/>
          <w:highlight w:val="none"/>
        </w:rPr>
      </w:pPr>
      <w:r>
        <w:rPr>
          <w:rFonts w:hint="eastAsia" w:ascii="宋体" w:hAnsi="宋体" w:eastAsia="宋体" w:cs="Times New Roman"/>
          <w:sz w:val="24"/>
          <w:highlight w:val="none"/>
        </w:rPr>
        <w:t>（一）评审过程中出现下列情形之一的，评审委员会将启动异常低价投标（响应）审查程序：</w:t>
      </w:r>
    </w:p>
    <w:p w14:paraId="76499053">
      <w:pPr>
        <w:spacing w:line="460" w:lineRule="exact"/>
        <w:ind w:firstLine="540" w:firstLineChars="225"/>
        <w:rPr>
          <w:rFonts w:hint="eastAsia" w:ascii="宋体" w:hAnsi="宋体" w:eastAsia="宋体" w:cs="Times New Roman"/>
          <w:sz w:val="24"/>
          <w:highlight w:val="none"/>
        </w:rPr>
      </w:pPr>
      <w:r>
        <w:rPr>
          <w:rFonts w:hint="eastAsia" w:ascii="宋体" w:hAnsi="宋体" w:eastAsia="宋体" w:cs="Times New Roman"/>
          <w:sz w:val="24"/>
          <w:highlight w:val="none"/>
        </w:rPr>
        <w:t>1.投标（响应）报价低于采购项目预算50%的，即投标（响应）报价＜采购项目预算×50%；</w:t>
      </w:r>
    </w:p>
    <w:p w14:paraId="12F68713">
      <w:pPr>
        <w:spacing w:line="460" w:lineRule="exact"/>
        <w:ind w:firstLine="540" w:firstLineChars="225"/>
        <w:rPr>
          <w:rFonts w:hint="eastAsia" w:ascii="宋体" w:hAnsi="宋体" w:eastAsia="宋体" w:cs="Times New Roman"/>
          <w:sz w:val="24"/>
          <w:highlight w:val="none"/>
        </w:rPr>
      </w:pPr>
      <w:r>
        <w:rPr>
          <w:rFonts w:hint="eastAsia" w:ascii="宋体" w:hAnsi="宋体" w:eastAsia="宋体" w:cs="Times New Roman"/>
          <w:sz w:val="24"/>
          <w:highlight w:val="none"/>
        </w:rPr>
        <w:t>2.投标（响应）报价低于采购项目最高限价45%的，即投标（响应）报价＜采购项目最高限价×45%；</w:t>
      </w:r>
    </w:p>
    <w:p w14:paraId="5D1FE426">
      <w:pPr>
        <w:spacing w:line="460" w:lineRule="exact"/>
        <w:ind w:firstLine="540" w:firstLineChars="225"/>
        <w:rPr>
          <w:rFonts w:hint="eastAsia" w:ascii="宋体" w:hAnsi="宋体" w:eastAsia="宋体" w:cs="Times New Roman"/>
          <w:sz w:val="24"/>
          <w:highlight w:val="none"/>
        </w:rPr>
      </w:pPr>
      <w:r>
        <w:rPr>
          <w:rFonts w:hint="eastAsia" w:ascii="宋体" w:hAnsi="宋体" w:eastAsia="宋体" w:cs="Times New Roman"/>
          <w:sz w:val="24"/>
          <w:highlight w:val="none"/>
        </w:rPr>
        <w:t>3.评审委员会认定的供应商报价过低、有可能影响产品质量或者不能诚信履约的其他情形。</w:t>
      </w:r>
    </w:p>
    <w:p w14:paraId="5FF8D1B4">
      <w:pPr>
        <w:spacing w:line="460" w:lineRule="exact"/>
        <w:ind w:firstLine="540" w:firstLineChars="225"/>
        <w:rPr>
          <w:rFonts w:ascii="宋体" w:hAnsi="宋体"/>
          <w:color w:val="auto"/>
          <w:sz w:val="24"/>
          <w:highlight w:val="none"/>
        </w:rPr>
      </w:pPr>
      <w:r>
        <w:rPr>
          <w:rFonts w:hint="eastAsia" w:ascii="宋体" w:hAnsi="宋体" w:eastAsia="宋体" w:cs="Times New Roman"/>
          <w:sz w:val="24"/>
          <w:highlight w:val="none"/>
        </w:rPr>
        <w:t>（二）启动异常低价投标（响应）审查后，评审委员会将要求相关供应商在评标现场合理的时间内，在政府采购管理交易系统（苏采云）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p>
    <w:p w14:paraId="4FB2B300">
      <w:pPr>
        <w:spacing w:line="360" w:lineRule="auto"/>
        <w:ind w:firstLine="482"/>
        <w:jc w:val="left"/>
        <w:rPr>
          <w:rFonts w:hint="eastAsia" w:eastAsia="宋体"/>
          <w:b/>
          <w:bCs/>
          <w:color w:val="auto"/>
          <w:sz w:val="24"/>
          <w:highlight w:val="none"/>
          <w:lang w:eastAsia="zh-CN"/>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政府采购政策功能落实</w:t>
      </w:r>
      <w:r>
        <w:rPr>
          <w:rFonts w:hint="eastAsia"/>
          <w:b/>
          <w:bCs/>
          <w:color w:val="auto"/>
          <w:sz w:val="24"/>
          <w:highlight w:val="none"/>
        </w:rPr>
        <w:t>（本项目专门面向中小企业采购）</w:t>
      </w:r>
    </w:p>
    <w:p w14:paraId="62E3851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1、本项目专门面向中小企业。</w:t>
      </w:r>
    </w:p>
    <w:p w14:paraId="11015F5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（1）供应商需按照采购文件的要求提供相应的《中小企业声明函》。</w:t>
      </w:r>
    </w:p>
    <w:p w14:paraId="6306D8C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（2）企业标准请参照《关于印发中小企业划型标准规定的通知》（工信部联企业[2011]300号）文件规定自行填写。</w:t>
      </w:r>
    </w:p>
    <w:p w14:paraId="5D4F44F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2、本项目对残疾人福利性单位视同小型、微型企业。</w:t>
      </w:r>
    </w:p>
    <w:p w14:paraId="7A6B0DF3">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（1）残疾人福利单位需按照采购文件的要求提供《残疾人福利性单位声明函》。</w:t>
      </w:r>
    </w:p>
    <w:p w14:paraId="134ABB65">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（2）残疾人福利单位标准请参照《关于促进残疾人就业政府采购政策的通知》（财库〔2017〕141号）。</w:t>
      </w:r>
    </w:p>
    <w:p w14:paraId="46F9CB58">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3、本项目对监狱和戒毒企业（简称监狱企业）视同小型、微型企业。</w:t>
      </w:r>
    </w:p>
    <w:p w14:paraId="7C18F470">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（1）监狱企业参加政府采购活动时，需提供由省级以上监狱管理局、戒毒管理局（含新疆生产建设兵团）出具的属于监狱企业的证明文件。</w:t>
      </w:r>
    </w:p>
    <w:p w14:paraId="79F0CB8A">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（2）监狱企业标准请参照《关于政府采购支持监狱企业发展有关问题的通知》（财库[2014]68号）。</w:t>
      </w:r>
    </w:p>
    <w:p w14:paraId="53E322BF">
      <w:pPr>
        <w:keepNext w:val="0"/>
        <w:keepLines w:val="0"/>
        <w:pageBreakBefore w:val="0"/>
        <w:widowControl w:val="0"/>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4、根据《江苏省政府采购信用管理暂行办法》的规定，对有失信行为的供应商将根据信用评价结果按规定予以扣分或价格加成。</w:t>
      </w:r>
    </w:p>
    <w:p w14:paraId="5DF09443">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）成交供应商的确定</w:t>
      </w:r>
    </w:p>
    <w:p w14:paraId="1A95EF8F">
      <w:pPr>
        <w:keepNext w:val="0"/>
        <w:keepLines w:val="0"/>
        <w:pageBreakBefore w:val="0"/>
        <w:widowControl w:val="0"/>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谈判</w:t>
      </w:r>
      <w:r>
        <w:rPr>
          <w:rFonts w:hint="eastAsia" w:ascii="宋体" w:hAnsi="宋体" w:eastAsia="宋体" w:cs="宋体"/>
          <w:bCs/>
          <w:color w:val="auto"/>
          <w:sz w:val="24"/>
          <w:szCs w:val="24"/>
          <w:highlight w:val="none"/>
        </w:rPr>
        <w:t>小组汇总各评委评分后，按照得分从高到低的顺序推荐三名成交候选人，并编写评审报告。</w:t>
      </w:r>
    </w:p>
    <w:p w14:paraId="6EE596B3">
      <w:pPr>
        <w:keepNext w:val="0"/>
        <w:keepLines w:val="0"/>
        <w:pageBreakBefore w:val="0"/>
        <w:widowControl w:val="0"/>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采购人委托</w:t>
      </w:r>
      <w:r>
        <w:rPr>
          <w:rFonts w:hint="eastAsia" w:ascii="宋体" w:hAnsi="宋体" w:cs="宋体"/>
          <w:bCs/>
          <w:color w:val="auto"/>
          <w:sz w:val="24"/>
          <w:szCs w:val="24"/>
          <w:highlight w:val="none"/>
          <w:lang w:eastAsia="zh-CN"/>
        </w:rPr>
        <w:t>谈判</w:t>
      </w:r>
      <w:r>
        <w:rPr>
          <w:rFonts w:hint="eastAsia" w:ascii="宋体" w:hAnsi="宋体" w:eastAsia="宋体" w:cs="宋体"/>
          <w:bCs/>
          <w:color w:val="auto"/>
          <w:sz w:val="24"/>
          <w:szCs w:val="24"/>
          <w:highlight w:val="none"/>
        </w:rPr>
        <w:t>小组直接确定排名第一的成交候选人为成交供应商。</w:t>
      </w:r>
    </w:p>
    <w:p w14:paraId="6EFC98D4">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）采购人代表宣布评审结果。</w:t>
      </w:r>
    </w:p>
    <w:p w14:paraId="0F2EAB83">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）公告成交结果</w:t>
      </w:r>
    </w:p>
    <w:p w14:paraId="1A625DEB">
      <w:pPr>
        <w:keepNext w:val="0"/>
        <w:keepLines w:val="0"/>
        <w:pageBreakBefore w:val="0"/>
        <w:widowControl w:val="0"/>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自确定成交供应商之日起2个工作日内，在指定媒体上公告成交结果，公告期限为1个工作日。</w:t>
      </w:r>
    </w:p>
    <w:p w14:paraId="4F85D62A">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）发放成交通知书</w:t>
      </w:r>
    </w:p>
    <w:p w14:paraId="7AB9D4AA">
      <w:pPr>
        <w:keepNext w:val="0"/>
        <w:keepLines w:val="0"/>
        <w:pageBreakBefore w:val="0"/>
        <w:widowControl w:val="0"/>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公告成交结果的同时，采购代理机构向成交供应商发放成交通知书。</w:t>
      </w:r>
    </w:p>
    <w:p w14:paraId="2F4B50F7">
      <w:pPr>
        <w:keepNext w:val="0"/>
        <w:keepLines w:val="0"/>
        <w:pageBreakBefore w:val="0"/>
        <w:widowControl w:val="0"/>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成交通知书发出后，采购人不得违法改变成交结果，成交供应商无正当理由不得放弃成交。</w:t>
      </w:r>
    </w:p>
    <w:p w14:paraId="2C5EF6C8">
      <w:pPr>
        <w:keepNext w:val="0"/>
        <w:keepLines w:val="0"/>
        <w:pageBreakBefore w:val="0"/>
        <w:widowControl w:val="0"/>
        <w:shd w:val="clear" w:color="auto" w:fill="FFFFFF"/>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特别说明：采用不见面远程方式开标的，成交供应商成交后在领取成交通知书前需提供</w:t>
      </w:r>
      <w:r>
        <w:rPr>
          <w:rFonts w:hint="eastAsia" w:ascii="宋体" w:hAnsi="宋体" w:eastAsia="宋体" w:cs="宋体"/>
          <w:b/>
          <w:color w:val="auto"/>
          <w:sz w:val="24"/>
          <w:szCs w:val="24"/>
          <w:highlight w:val="none"/>
          <w:u w:val="single"/>
        </w:rPr>
        <w:t xml:space="preserve"> 叁 </w:t>
      </w:r>
      <w:r>
        <w:rPr>
          <w:rFonts w:hint="eastAsia" w:ascii="宋体" w:hAnsi="宋体" w:eastAsia="宋体" w:cs="宋体"/>
          <w:b/>
          <w:color w:val="auto"/>
          <w:sz w:val="24"/>
          <w:szCs w:val="24"/>
          <w:highlight w:val="none"/>
        </w:rPr>
        <w:t>份加盖公章的系统内打印的纸质响应文件和</w:t>
      </w:r>
      <w:r>
        <w:rPr>
          <w:rFonts w:hint="eastAsia" w:ascii="宋体" w:hAnsi="宋体" w:eastAsia="宋体" w:cs="宋体"/>
          <w:b/>
          <w:color w:val="auto"/>
          <w:sz w:val="24"/>
          <w:szCs w:val="24"/>
          <w:highlight w:val="none"/>
          <w:u w:val="single"/>
        </w:rPr>
        <w:t xml:space="preserve"> 壹 </w:t>
      </w:r>
      <w:r>
        <w:rPr>
          <w:rFonts w:hint="eastAsia" w:ascii="宋体" w:hAnsi="宋体" w:eastAsia="宋体" w:cs="宋体"/>
          <w:b/>
          <w:color w:val="auto"/>
          <w:sz w:val="24"/>
          <w:szCs w:val="24"/>
          <w:highlight w:val="none"/>
        </w:rPr>
        <w:t>份电子档文件给采购代理机构。未提供纸质响应文件的不得领取成交通知书。</w:t>
      </w:r>
    </w:p>
    <w:p w14:paraId="355E51B2">
      <w:pPr>
        <w:pStyle w:val="70"/>
        <w:numPr>
          <w:ilvl w:val="0"/>
          <w:numId w:val="2"/>
        </w:numPr>
        <w:spacing w:before="159" w:after="159"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合同主要条款</w:t>
      </w:r>
    </w:p>
    <w:p w14:paraId="1A557305">
      <w:pPr>
        <w:pStyle w:val="70"/>
        <w:numPr>
          <w:ilvl w:val="0"/>
          <w:numId w:val="0"/>
        </w:numPr>
        <w:spacing w:before="159" w:after="159" w:line="360" w:lineRule="auto"/>
        <w:jc w:val="center"/>
        <w:rPr>
          <w:rFonts w:cs="Times New Roman"/>
          <w:b/>
          <w:spacing w:val="22"/>
          <w:sz w:val="32"/>
          <w:szCs w:val="32"/>
          <w:highlight w:val="none"/>
        </w:rPr>
      </w:pPr>
      <w:r>
        <w:rPr>
          <w:rFonts w:hint="eastAsia" w:cs="Times New Roman"/>
          <w:b/>
          <w:spacing w:val="22"/>
          <w:sz w:val="32"/>
          <w:szCs w:val="32"/>
          <w:highlight w:val="none"/>
        </w:rPr>
        <w:t>南通市政府采购合同</w:t>
      </w:r>
    </w:p>
    <w:p w14:paraId="1ED69A68">
      <w:pPr>
        <w:tabs>
          <w:tab w:val="left" w:pos="4320"/>
        </w:tabs>
        <w:snapToGrid w:val="0"/>
        <w:jc w:val="center"/>
        <w:rPr>
          <w:rFonts w:cs="Times New Roman"/>
          <w:b/>
          <w:sz w:val="24"/>
          <w:highlight w:val="none"/>
        </w:rPr>
      </w:pPr>
    </w:p>
    <w:p w14:paraId="471D3835">
      <w:pPr>
        <w:snapToGrid w:val="0"/>
        <w:spacing w:line="360" w:lineRule="auto"/>
        <w:jc w:val="left"/>
        <w:rPr>
          <w:rFonts w:cs="Times New Roman"/>
          <w:color w:val="000000"/>
          <w:szCs w:val="21"/>
          <w:highlight w:val="none"/>
          <w:u w:val="single"/>
        </w:rPr>
      </w:pPr>
      <w:r>
        <w:rPr>
          <w:rFonts w:hint="eastAsia" w:cs="Times New Roman"/>
          <w:color w:val="000000"/>
          <w:szCs w:val="21"/>
          <w:highlight w:val="none"/>
        </w:rPr>
        <w:t>供方：</w:t>
      </w:r>
      <w:r>
        <w:rPr>
          <w:rFonts w:hint="eastAsia" w:cs="Times New Roman"/>
          <w:color w:val="000000"/>
          <w:szCs w:val="21"/>
          <w:highlight w:val="none"/>
          <w:u w:val="single"/>
        </w:rPr>
        <w:t xml:space="preserve"> </w:t>
      </w:r>
      <w:r>
        <w:rPr>
          <w:rFonts w:cs="Times New Roman"/>
          <w:color w:val="000000"/>
          <w:szCs w:val="21"/>
          <w:highlight w:val="none"/>
          <w:u w:val="single"/>
        </w:rPr>
        <w:t xml:space="preserve">  </w:t>
      </w:r>
      <w:r>
        <w:rPr>
          <w:rFonts w:hint="eastAsia" w:cs="Times New Roman"/>
          <w:color w:val="000000"/>
          <w:szCs w:val="21"/>
          <w:highlight w:val="none"/>
          <w:u w:val="single"/>
        </w:rPr>
        <w:t xml:space="preserve"> </w:t>
      </w:r>
      <w:r>
        <w:rPr>
          <w:rFonts w:cs="Times New Roman"/>
          <w:color w:val="000000"/>
          <w:szCs w:val="21"/>
          <w:highlight w:val="none"/>
          <w:u w:val="single"/>
        </w:rPr>
        <w:t xml:space="preserve">                     </w:t>
      </w:r>
      <w:r>
        <w:rPr>
          <w:rFonts w:hint="eastAsia" w:cs="Times New Roman"/>
          <w:color w:val="000000"/>
          <w:szCs w:val="21"/>
          <w:highlight w:val="none"/>
          <w:u w:val="single"/>
        </w:rPr>
        <w:t xml:space="preserve">  </w:t>
      </w:r>
      <w:r>
        <w:rPr>
          <w:rFonts w:hint="eastAsia" w:cs="Times New Roman"/>
          <w:color w:val="000000"/>
          <w:w w:val="90"/>
          <w:szCs w:val="21"/>
          <w:highlight w:val="none"/>
        </w:rPr>
        <w:t xml:space="preserve">     </w:t>
      </w:r>
      <w:r>
        <w:rPr>
          <w:rFonts w:cs="Times New Roman"/>
          <w:color w:val="000000"/>
          <w:w w:val="90"/>
          <w:szCs w:val="21"/>
          <w:highlight w:val="none"/>
        </w:rPr>
        <w:t xml:space="preserve">                     </w:t>
      </w:r>
      <w:r>
        <w:rPr>
          <w:rFonts w:hint="eastAsia" w:cs="Times New Roman"/>
          <w:color w:val="000000"/>
          <w:szCs w:val="21"/>
          <w:highlight w:val="none"/>
        </w:rPr>
        <w:t>合同编号：</w:t>
      </w:r>
      <w:r>
        <w:rPr>
          <w:rFonts w:hint="eastAsia" w:cs="Times New Roman"/>
          <w:color w:val="000000"/>
          <w:szCs w:val="21"/>
          <w:highlight w:val="none"/>
          <w:u w:val="single"/>
        </w:rPr>
        <w:t xml:space="preserve">  </w:t>
      </w:r>
      <w:r>
        <w:rPr>
          <w:rFonts w:cs="Times New Roman"/>
          <w:color w:val="000000"/>
          <w:szCs w:val="21"/>
          <w:highlight w:val="none"/>
          <w:u w:val="single"/>
        </w:rPr>
        <w:t xml:space="preserve"> </w:t>
      </w:r>
      <w:r>
        <w:rPr>
          <w:rFonts w:hint="eastAsia" w:cs="Times New Roman"/>
          <w:color w:val="000000"/>
          <w:szCs w:val="21"/>
          <w:highlight w:val="none"/>
          <w:u w:val="single"/>
        </w:rPr>
        <w:t>CL/ZC-</w:t>
      </w:r>
      <w:r>
        <w:rPr>
          <w:rFonts w:cs="Times New Roman"/>
          <w:color w:val="000000"/>
          <w:szCs w:val="21"/>
          <w:highlight w:val="none"/>
          <w:u w:val="single"/>
        </w:rPr>
        <w:t xml:space="preserve">20XX-XX    </w:t>
      </w:r>
    </w:p>
    <w:p w14:paraId="223F4DD0">
      <w:pPr>
        <w:snapToGrid w:val="0"/>
        <w:spacing w:line="360" w:lineRule="auto"/>
        <w:jc w:val="left"/>
        <w:rPr>
          <w:rFonts w:cs="Times New Roman"/>
          <w:color w:val="000000"/>
          <w:szCs w:val="21"/>
          <w:highlight w:val="none"/>
        </w:rPr>
      </w:pPr>
      <w:r>
        <w:rPr>
          <w:rFonts w:hint="eastAsia" w:cs="Times New Roman"/>
          <w:color w:val="000000"/>
          <w:szCs w:val="21"/>
          <w:highlight w:val="none"/>
        </w:rPr>
        <w:t>需方：</w:t>
      </w:r>
      <w:r>
        <w:rPr>
          <w:rFonts w:hint="eastAsia" w:cs="Times New Roman"/>
          <w:color w:val="000000"/>
          <w:szCs w:val="21"/>
          <w:highlight w:val="none"/>
          <w:u w:val="single"/>
        </w:rPr>
        <w:t xml:space="preserve">   南通市城市照明管理处  </w:t>
      </w:r>
      <w:r>
        <w:rPr>
          <w:rFonts w:cs="Times New Roman"/>
          <w:color w:val="000000"/>
          <w:szCs w:val="21"/>
          <w:highlight w:val="none"/>
          <w:u w:val="single"/>
        </w:rPr>
        <w:t xml:space="preserve"> </w:t>
      </w:r>
      <w:r>
        <w:rPr>
          <w:rFonts w:hint="eastAsia" w:cs="Times New Roman"/>
          <w:color w:val="000000"/>
          <w:szCs w:val="21"/>
          <w:highlight w:val="none"/>
          <w:u w:val="single"/>
        </w:rPr>
        <w:t xml:space="preserve"> </w:t>
      </w:r>
      <w:r>
        <w:rPr>
          <w:rFonts w:hint="eastAsia" w:cs="Times New Roman"/>
          <w:color w:val="000000"/>
          <w:szCs w:val="21"/>
          <w:highlight w:val="none"/>
        </w:rPr>
        <w:t xml:space="preserve">  </w:t>
      </w:r>
      <w:r>
        <w:rPr>
          <w:rFonts w:cs="Times New Roman"/>
          <w:color w:val="000000"/>
          <w:szCs w:val="21"/>
          <w:highlight w:val="none"/>
        </w:rPr>
        <w:t xml:space="preserve">                    </w:t>
      </w:r>
      <w:r>
        <w:rPr>
          <w:rFonts w:hint="eastAsia" w:cs="Times New Roman"/>
          <w:color w:val="000000"/>
          <w:szCs w:val="21"/>
          <w:highlight w:val="none"/>
        </w:rPr>
        <w:t xml:space="preserve"> 采购编号：</w:t>
      </w:r>
      <w:r>
        <w:rPr>
          <w:rFonts w:cs="Times New Roman"/>
          <w:color w:val="000000"/>
          <w:szCs w:val="21"/>
          <w:highlight w:val="none"/>
          <w:u w:val="single"/>
        </w:rPr>
        <w:t>XXXXXXXXXXXXXXXXXXX</w:t>
      </w:r>
    </w:p>
    <w:p w14:paraId="3910D57F">
      <w:pPr>
        <w:snapToGrid w:val="0"/>
        <w:spacing w:line="360" w:lineRule="auto"/>
        <w:jc w:val="left"/>
        <w:rPr>
          <w:rFonts w:cs="Times New Roman"/>
          <w:color w:val="000000"/>
          <w:szCs w:val="21"/>
          <w:highlight w:val="none"/>
          <w:u w:val="single"/>
        </w:rPr>
      </w:pPr>
      <w:r>
        <w:rPr>
          <w:rFonts w:hint="eastAsia" w:cs="Times New Roman"/>
          <w:color w:val="000000"/>
          <w:szCs w:val="21"/>
          <w:highlight w:val="none"/>
        </w:rPr>
        <w:t>签订地点：</w:t>
      </w:r>
      <w:r>
        <w:rPr>
          <w:rFonts w:hint="eastAsia" w:cs="Times New Roman"/>
          <w:color w:val="000000"/>
          <w:szCs w:val="21"/>
          <w:highlight w:val="none"/>
          <w:u w:val="single"/>
        </w:rPr>
        <w:t xml:space="preserve">   南通市教育路34# </w:t>
      </w:r>
      <w:r>
        <w:rPr>
          <w:rFonts w:cs="Times New Roman"/>
          <w:color w:val="000000"/>
          <w:szCs w:val="21"/>
          <w:highlight w:val="none"/>
          <w:u w:val="single"/>
        </w:rPr>
        <w:t xml:space="preserve">  </w:t>
      </w:r>
      <w:r>
        <w:rPr>
          <w:rFonts w:hint="eastAsia" w:cs="Times New Roman"/>
          <w:color w:val="000000"/>
          <w:szCs w:val="21"/>
          <w:highlight w:val="none"/>
          <w:u w:val="single"/>
        </w:rPr>
        <w:t xml:space="preserve">  </w:t>
      </w:r>
      <w:r>
        <w:rPr>
          <w:rFonts w:hint="eastAsia" w:cs="Times New Roman"/>
          <w:color w:val="000000"/>
          <w:szCs w:val="21"/>
          <w:highlight w:val="none"/>
        </w:rPr>
        <w:t xml:space="preserve">   </w:t>
      </w:r>
      <w:r>
        <w:rPr>
          <w:rFonts w:cs="Times New Roman"/>
          <w:color w:val="000000"/>
          <w:szCs w:val="21"/>
          <w:highlight w:val="none"/>
        </w:rPr>
        <w:t xml:space="preserve">                   </w:t>
      </w:r>
      <w:r>
        <w:rPr>
          <w:rFonts w:hint="eastAsia" w:cs="Times New Roman"/>
          <w:color w:val="000000"/>
          <w:szCs w:val="21"/>
          <w:highlight w:val="none"/>
        </w:rPr>
        <w:t>签订时间：</w:t>
      </w:r>
      <w:r>
        <w:rPr>
          <w:rFonts w:hint="eastAsia" w:cs="Times New Roman"/>
          <w:color w:val="000000"/>
          <w:szCs w:val="21"/>
          <w:highlight w:val="none"/>
          <w:u w:val="single"/>
        </w:rPr>
        <w:t xml:space="preserve">     </w:t>
      </w:r>
      <w:r>
        <w:rPr>
          <w:rFonts w:cs="Times New Roman"/>
          <w:color w:val="000000"/>
          <w:szCs w:val="21"/>
          <w:highlight w:val="none"/>
          <w:u w:val="single"/>
        </w:rPr>
        <w:t>20XX-XX-XX</w:t>
      </w:r>
      <w:r>
        <w:rPr>
          <w:rFonts w:hint="eastAsia" w:cs="Times New Roman"/>
          <w:color w:val="000000"/>
          <w:szCs w:val="21"/>
          <w:highlight w:val="none"/>
          <w:u w:val="single"/>
        </w:rPr>
        <w:t xml:space="preserve"> </w:t>
      </w:r>
      <w:r>
        <w:rPr>
          <w:rFonts w:cs="Times New Roman"/>
          <w:color w:val="000000"/>
          <w:szCs w:val="21"/>
          <w:highlight w:val="none"/>
          <w:u w:val="single"/>
        </w:rPr>
        <w:t xml:space="preserve">   </w:t>
      </w:r>
    </w:p>
    <w:p w14:paraId="4F0653B4">
      <w:pPr>
        <w:snapToGrid w:val="0"/>
        <w:spacing w:line="360" w:lineRule="auto"/>
        <w:rPr>
          <w:rFonts w:cs="Times New Roman"/>
          <w:color w:val="000000"/>
          <w:szCs w:val="21"/>
          <w:highlight w:val="none"/>
        </w:rPr>
      </w:pPr>
      <w:r>
        <w:rPr>
          <w:rFonts w:hint="eastAsia" w:cs="Times New Roman"/>
          <w:color w:val="000000"/>
          <w:szCs w:val="21"/>
          <w:highlight w:val="none"/>
        </w:rPr>
        <w:t>一、南通市政府采购中心通过</w:t>
      </w:r>
      <w:r>
        <w:rPr>
          <w:rFonts w:hint="eastAsia" w:cs="Times New Roman"/>
          <w:color w:val="000000"/>
          <w:szCs w:val="21"/>
          <w:highlight w:val="none"/>
          <w:u w:val="single"/>
        </w:rPr>
        <w:t>竞争性谈判</w:t>
      </w:r>
      <w:r>
        <w:rPr>
          <w:rFonts w:hint="eastAsia" w:cs="Times New Roman"/>
          <w:color w:val="000000"/>
          <w:szCs w:val="21"/>
          <w:highlight w:val="none"/>
        </w:rPr>
        <w:t>方式，确定供方为需方的供货商。</w:t>
      </w:r>
    </w:p>
    <w:p w14:paraId="0AB13275">
      <w:pPr>
        <w:snapToGrid w:val="0"/>
        <w:spacing w:line="360" w:lineRule="auto"/>
        <w:ind w:left="6300" w:hanging="6300" w:hangingChars="3000"/>
        <w:rPr>
          <w:rFonts w:cs="Times New Roman"/>
          <w:szCs w:val="21"/>
          <w:highlight w:val="none"/>
        </w:rPr>
      </w:pPr>
      <w:r>
        <w:rPr>
          <w:rFonts w:hint="eastAsia" w:cs="Times New Roman"/>
          <w:color w:val="000000"/>
          <w:szCs w:val="21"/>
          <w:highlight w:val="none"/>
        </w:rPr>
        <w:t>二、采购清单：</w:t>
      </w:r>
      <w:r>
        <w:rPr>
          <w:rFonts w:hint="eastAsia" w:cs="Times New Roman"/>
          <w:szCs w:val="21"/>
          <w:highlight w:val="none"/>
        </w:rPr>
        <w:t xml:space="preserve">                                              </w:t>
      </w:r>
    </w:p>
    <w:p w14:paraId="3842D5D4">
      <w:pPr>
        <w:spacing w:line="300" w:lineRule="exact"/>
        <w:ind w:left="7182" w:leftChars="3420" w:firstLine="630" w:firstLineChars="300"/>
        <w:rPr>
          <w:rFonts w:cs="Times New Roman"/>
          <w:szCs w:val="21"/>
          <w:highlight w:val="none"/>
        </w:rPr>
      </w:pPr>
      <w:r>
        <w:rPr>
          <w:rFonts w:hint="eastAsia" w:cs="Times New Roman"/>
          <w:szCs w:val="21"/>
          <w:highlight w:val="none"/>
        </w:rPr>
        <w:t xml:space="preserve">金额单位：元 </w:t>
      </w:r>
    </w:p>
    <w:tbl>
      <w:tblPr>
        <w:tblStyle w:val="32"/>
        <w:tblW w:w="9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90"/>
        <w:gridCol w:w="2137"/>
        <w:gridCol w:w="1984"/>
        <w:gridCol w:w="709"/>
        <w:gridCol w:w="1134"/>
        <w:gridCol w:w="851"/>
        <w:gridCol w:w="1275"/>
        <w:gridCol w:w="1207"/>
      </w:tblGrid>
      <w:tr w14:paraId="18CD1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70" w:hRule="exact"/>
          <w:jc w:val="center"/>
        </w:trPr>
        <w:tc>
          <w:tcPr>
            <w:tcW w:w="490" w:type="dxa"/>
            <w:vAlign w:val="center"/>
          </w:tcPr>
          <w:p w14:paraId="5344021A">
            <w:pPr>
              <w:spacing w:line="360" w:lineRule="exact"/>
              <w:jc w:val="center"/>
              <w:rPr>
                <w:rFonts w:cs="Times New Roman"/>
                <w:szCs w:val="21"/>
                <w:highlight w:val="none"/>
              </w:rPr>
            </w:pPr>
            <w:r>
              <w:rPr>
                <w:rFonts w:hint="eastAsia" w:cs="Times New Roman"/>
                <w:szCs w:val="21"/>
                <w:highlight w:val="none"/>
              </w:rPr>
              <w:t>序</w:t>
            </w:r>
          </w:p>
          <w:p w14:paraId="0AA1D194">
            <w:pPr>
              <w:spacing w:line="360" w:lineRule="exact"/>
              <w:jc w:val="center"/>
              <w:rPr>
                <w:rFonts w:cs="Times New Roman"/>
                <w:szCs w:val="21"/>
                <w:highlight w:val="none"/>
              </w:rPr>
            </w:pPr>
            <w:r>
              <w:rPr>
                <w:rFonts w:hint="eastAsia" w:cs="Times New Roman"/>
                <w:szCs w:val="21"/>
                <w:highlight w:val="none"/>
              </w:rPr>
              <w:t>号</w:t>
            </w:r>
          </w:p>
        </w:tc>
        <w:tc>
          <w:tcPr>
            <w:tcW w:w="2137" w:type="dxa"/>
            <w:vAlign w:val="center"/>
          </w:tcPr>
          <w:p w14:paraId="5F4BEAF5">
            <w:pPr>
              <w:spacing w:line="360" w:lineRule="exact"/>
              <w:jc w:val="center"/>
              <w:rPr>
                <w:rFonts w:cs="Times New Roman"/>
                <w:szCs w:val="21"/>
                <w:highlight w:val="none"/>
              </w:rPr>
            </w:pPr>
            <w:r>
              <w:rPr>
                <w:rFonts w:hint="eastAsia" w:cs="Times New Roman"/>
                <w:szCs w:val="21"/>
                <w:highlight w:val="none"/>
              </w:rPr>
              <w:t xml:space="preserve">货物  </w:t>
            </w:r>
          </w:p>
          <w:p w14:paraId="2B669BE2">
            <w:pPr>
              <w:spacing w:line="360" w:lineRule="exact"/>
              <w:jc w:val="center"/>
              <w:rPr>
                <w:rFonts w:cs="Times New Roman"/>
                <w:szCs w:val="21"/>
                <w:highlight w:val="none"/>
              </w:rPr>
            </w:pPr>
            <w:r>
              <w:rPr>
                <w:rFonts w:hint="eastAsia" w:cs="Times New Roman"/>
                <w:szCs w:val="21"/>
                <w:highlight w:val="none"/>
              </w:rPr>
              <w:t>名称</w:t>
            </w:r>
          </w:p>
        </w:tc>
        <w:tc>
          <w:tcPr>
            <w:tcW w:w="1984" w:type="dxa"/>
            <w:vAlign w:val="center"/>
          </w:tcPr>
          <w:p w14:paraId="7E764388">
            <w:pPr>
              <w:spacing w:line="360" w:lineRule="exact"/>
              <w:jc w:val="center"/>
              <w:rPr>
                <w:rFonts w:cs="Times New Roman"/>
                <w:szCs w:val="21"/>
                <w:highlight w:val="none"/>
              </w:rPr>
            </w:pPr>
            <w:r>
              <w:rPr>
                <w:rFonts w:hint="eastAsia" w:cs="Times New Roman"/>
                <w:szCs w:val="21"/>
                <w:highlight w:val="none"/>
              </w:rPr>
              <w:t>规格、型号</w:t>
            </w:r>
          </w:p>
        </w:tc>
        <w:tc>
          <w:tcPr>
            <w:tcW w:w="709" w:type="dxa"/>
            <w:vAlign w:val="center"/>
          </w:tcPr>
          <w:p w14:paraId="615E32F8">
            <w:pPr>
              <w:spacing w:line="360" w:lineRule="exact"/>
              <w:jc w:val="center"/>
              <w:rPr>
                <w:rFonts w:cs="Times New Roman"/>
                <w:szCs w:val="21"/>
                <w:highlight w:val="none"/>
              </w:rPr>
            </w:pPr>
            <w:r>
              <w:rPr>
                <w:rFonts w:hint="eastAsia" w:cs="Times New Roman"/>
                <w:szCs w:val="21"/>
                <w:highlight w:val="none"/>
              </w:rPr>
              <w:t>计量</w:t>
            </w:r>
          </w:p>
          <w:p w14:paraId="4F4CBAED">
            <w:pPr>
              <w:spacing w:line="360" w:lineRule="exact"/>
              <w:jc w:val="center"/>
              <w:rPr>
                <w:rFonts w:cs="Times New Roman"/>
                <w:szCs w:val="21"/>
                <w:highlight w:val="none"/>
              </w:rPr>
            </w:pPr>
            <w:r>
              <w:rPr>
                <w:rFonts w:hint="eastAsia" w:cs="Times New Roman"/>
                <w:szCs w:val="21"/>
                <w:highlight w:val="none"/>
              </w:rPr>
              <w:t>单位</w:t>
            </w:r>
          </w:p>
        </w:tc>
        <w:tc>
          <w:tcPr>
            <w:tcW w:w="1134" w:type="dxa"/>
            <w:vAlign w:val="center"/>
          </w:tcPr>
          <w:p w14:paraId="289A5C74">
            <w:pPr>
              <w:spacing w:line="360" w:lineRule="exact"/>
              <w:jc w:val="center"/>
              <w:rPr>
                <w:rFonts w:cs="Times New Roman"/>
                <w:szCs w:val="21"/>
                <w:highlight w:val="none"/>
              </w:rPr>
            </w:pPr>
            <w:r>
              <w:rPr>
                <w:rFonts w:hint="eastAsia" w:cs="Times New Roman"/>
                <w:szCs w:val="21"/>
                <w:highlight w:val="none"/>
              </w:rPr>
              <w:t>数量</w:t>
            </w:r>
          </w:p>
        </w:tc>
        <w:tc>
          <w:tcPr>
            <w:tcW w:w="851" w:type="dxa"/>
            <w:vAlign w:val="center"/>
          </w:tcPr>
          <w:p w14:paraId="55B3EF51">
            <w:pPr>
              <w:spacing w:line="360" w:lineRule="exact"/>
              <w:jc w:val="center"/>
              <w:rPr>
                <w:rFonts w:cs="Times New Roman"/>
                <w:szCs w:val="21"/>
                <w:highlight w:val="none"/>
              </w:rPr>
            </w:pPr>
            <w:r>
              <w:rPr>
                <w:rFonts w:hint="eastAsia" w:cs="Times New Roman"/>
                <w:szCs w:val="21"/>
                <w:highlight w:val="none"/>
              </w:rPr>
              <w:t>单价</w:t>
            </w:r>
          </w:p>
        </w:tc>
        <w:tc>
          <w:tcPr>
            <w:tcW w:w="1275" w:type="dxa"/>
            <w:vAlign w:val="center"/>
          </w:tcPr>
          <w:p w14:paraId="7E2B6338">
            <w:pPr>
              <w:spacing w:line="360" w:lineRule="exact"/>
              <w:jc w:val="center"/>
              <w:rPr>
                <w:rFonts w:cs="Times New Roman"/>
                <w:szCs w:val="21"/>
                <w:highlight w:val="none"/>
              </w:rPr>
            </w:pPr>
            <w:r>
              <w:rPr>
                <w:rFonts w:hint="eastAsia" w:cs="Times New Roman"/>
                <w:szCs w:val="21"/>
                <w:highlight w:val="none"/>
              </w:rPr>
              <w:t>总金额</w:t>
            </w:r>
          </w:p>
        </w:tc>
        <w:tc>
          <w:tcPr>
            <w:tcW w:w="1207" w:type="dxa"/>
            <w:vAlign w:val="center"/>
          </w:tcPr>
          <w:p w14:paraId="079E834E">
            <w:pPr>
              <w:spacing w:line="360" w:lineRule="exact"/>
              <w:jc w:val="center"/>
              <w:rPr>
                <w:rFonts w:cs="Times New Roman"/>
                <w:szCs w:val="21"/>
                <w:highlight w:val="none"/>
              </w:rPr>
            </w:pPr>
            <w:r>
              <w:rPr>
                <w:rFonts w:hint="eastAsia" w:cs="Times New Roman"/>
                <w:szCs w:val="21"/>
                <w:highlight w:val="none"/>
              </w:rPr>
              <w:t>供货</w:t>
            </w:r>
          </w:p>
          <w:p w14:paraId="4C7CE482">
            <w:pPr>
              <w:spacing w:line="360" w:lineRule="exact"/>
              <w:jc w:val="center"/>
              <w:rPr>
                <w:rFonts w:cs="Times New Roman"/>
                <w:szCs w:val="21"/>
                <w:highlight w:val="none"/>
              </w:rPr>
            </w:pPr>
            <w:r>
              <w:rPr>
                <w:rFonts w:hint="eastAsia" w:cs="Times New Roman"/>
                <w:szCs w:val="21"/>
                <w:highlight w:val="none"/>
              </w:rPr>
              <w:t>时间</w:t>
            </w:r>
          </w:p>
        </w:tc>
      </w:tr>
      <w:tr w14:paraId="6071C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490" w:type="dxa"/>
            <w:vAlign w:val="center"/>
          </w:tcPr>
          <w:p w14:paraId="40FEF63E">
            <w:pPr>
              <w:spacing w:line="360" w:lineRule="exact"/>
              <w:jc w:val="center"/>
              <w:rPr>
                <w:rFonts w:cs="Times New Roman"/>
                <w:szCs w:val="21"/>
                <w:highlight w:val="none"/>
              </w:rPr>
            </w:pPr>
            <w:r>
              <w:rPr>
                <w:rFonts w:hint="eastAsia" w:cs="Times New Roman"/>
                <w:szCs w:val="21"/>
                <w:highlight w:val="none"/>
              </w:rPr>
              <w:t>1</w:t>
            </w:r>
          </w:p>
        </w:tc>
        <w:tc>
          <w:tcPr>
            <w:tcW w:w="2137" w:type="dxa"/>
            <w:vMerge w:val="restart"/>
            <w:vAlign w:val="center"/>
          </w:tcPr>
          <w:p w14:paraId="167AC255">
            <w:pPr>
              <w:spacing w:line="360" w:lineRule="exact"/>
              <w:jc w:val="center"/>
              <w:rPr>
                <w:rFonts w:cs="Times New Roman"/>
                <w:szCs w:val="21"/>
                <w:highlight w:val="none"/>
              </w:rPr>
            </w:pPr>
            <w:r>
              <w:rPr>
                <w:rFonts w:hint="eastAsia" w:cs="Times New Roman"/>
                <w:szCs w:val="21"/>
                <w:highlight w:val="none"/>
              </w:rPr>
              <w:t>聚乙烯</w:t>
            </w:r>
          </w:p>
          <w:p w14:paraId="3BFF1C2B">
            <w:pPr>
              <w:spacing w:line="360" w:lineRule="exact"/>
              <w:jc w:val="center"/>
              <w:rPr>
                <w:rFonts w:cs="Times New Roman"/>
                <w:szCs w:val="21"/>
                <w:highlight w:val="none"/>
              </w:rPr>
            </w:pPr>
            <w:r>
              <w:rPr>
                <w:rFonts w:hint="eastAsia" w:cs="Times New Roman"/>
                <w:szCs w:val="21"/>
                <w:highlight w:val="none"/>
              </w:rPr>
              <w:t>树脂白管</w:t>
            </w:r>
          </w:p>
        </w:tc>
        <w:tc>
          <w:tcPr>
            <w:tcW w:w="1984" w:type="dxa"/>
            <w:vAlign w:val="center"/>
          </w:tcPr>
          <w:p w14:paraId="3E14DB80">
            <w:pPr>
              <w:spacing w:line="360" w:lineRule="exact"/>
              <w:jc w:val="center"/>
              <w:rPr>
                <w:rFonts w:cs="Times New Roman"/>
                <w:szCs w:val="21"/>
                <w:highlight w:val="none"/>
              </w:rPr>
            </w:pPr>
            <w:r>
              <w:rPr>
                <w:rFonts w:hint="eastAsia" w:cs="Times New Roman"/>
                <w:szCs w:val="21"/>
                <w:highlight w:val="none"/>
              </w:rPr>
              <w:t>PE25</w:t>
            </w:r>
          </w:p>
        </w:tc>
        <w:tc>
          <w:tcPr>
            <w:tcW w:w="709" w:type="dxa"/>
            <w:vAlign w:val="center"/>
          </w:tcPr>
          <w:p w14:paraId="0A5477C3">
            <w:pPr>
              <w:spacing w:line="360" w:lineRule="exact"/>
              <w:jc w:val="center"/>
              <w:rPr>
                <w:rFonts w:cs="Times New Roman"/>
                <w:szCs w:val="21"/>
                <w:highlight w:val="none"/>
              </w:rPr>
            </w:pPr>
            <w:r>
              <w:rPr>
                <w:rFonts w:hint="eastAsia" w:cs="Times New Roman"/>
                <w:szCs w:val="21"/>
                <w:highlight w:val="none"/>
              </w:rPr>
              <w:t>米</w:t>
            </w:r>
          </w:p>
        </w:tc>
        <w:tc>
          <w:tcPr>
            <w:tcW w:w="1134" w:type="dxa"/>
            <w:vAlign w:val="center"/>
          </w:tcPr>
          <w:p w14:paraId="644D68F8">
            <w:pPr>
              <w:spacing w:line="360" w:lineRule="exact"/>
              <w:jc w:val="center"/>
              <w:rPr>
                <w:rFonts w:hint="eastAsia" w:cs="Times New Roman"/>
                <w:szCs w:val="21"/>
                <w:highlight w:val="none"/>
              </w:rPr>
            </w:pPr>
            <w:r>
              <w:rPr>
                <w:rFonts w:hint="eastAsia" w:cs="Times New Roman"/>
                <w:szCs w:val="21"/>
                <w:highlight w:val="none"/>
                <w:lang w:val="en-US" w:eastAsia="zh-CN"/>
              </w:rPr>
              <w:t>250</w:t>
            </w:r>
          </w:p>
        </w:tc>
        <w:tc>
          <w:tcPr>
            <w:tcW w:w="851" w:type="dxa"/>
            <w:vAlign w:val="center"/>
          </w:tcPr>
          <w:p w14:paraId="76632F4E">
            <w:pPr>
              <w:spacing w:line="360" w:lineRule="exact"/>
              <w:jc w:val="right"/>
              <w:rPr>
                <w:rFonts w:cs="Times New Roman"/>
                <w:szCs w:val="21"/>
                <w:highlight w:val="none"/>
              </w:rPr>
            </w:pPr>
          </w:p>
        </w:tc>
        <w:tc>
          <w:tcPr>
            <w:tcW w:w="1275" w:type="dxa"/>
            <w:shd w:val="clear" w:color="auto" w:fill="auto"/>
            <w:vAlign w:val="center"/>
          </w:tcPr>
          <w:p w14:paraId="6B2403DF">
            <w:pPr>
              <w:spacing w:line="360" w:lineRule="exact"/>
              <w:jc w:val="right"/>
              <w:rPr>
                <w:rFonts w:cs="Times New Roman"/>
                <w:szCs w:val="21"/>
                <w:highlight w:val="none"/>
              </w:rPr>
            </w:pPr>
          </w:p>
        </w:tc>
        <w:tc>
          <w:tcPr>
            <w:tcW w:w="1207" w:type="dxa"/>
            <w:vMerge w:val="restart"/>
            <w:vAlign w:val="center"/>
          </w:tcPr>
          <w:p w14:paraId="1042A629">
            <w:pPr>
              <w:spacing w:line="360" w:lineRule="exact"/>
              <w:jc w:val="center"/>
              <w:rPr>
                <w:rFonts w:cs="Times New Roman"/>
                <w:szCs w:val="21"/>
                <w:highlight w:val="none"/>
              </w:rPr>
            </w:pPr>
            <w:r>
              <w:rPr>
                <w:rFonts w:hint="eastAsia" w:cs="Times New Roman"/>
                <w:szCs w:val="21"/>
                <w:highlight w:val="none"/>
              </w:rPr>
              <w:t>按需方要求</w:t>
            </w:r>
          </w:p>
        </w:tc>
      </w:tr>
      <w:tr w14:paraId="11537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490" w:type="dxa"/>
            <w:vAlign w:val="center"/>
          </w:tcPr>
          <w:p w14:paraId="2CD9B2E8">
            <w:pPr>
              <w:spacing w:line="360" w:lineRule="exact"/>
              <w:jc w:val="center"/>
              <w:rPr>
                <w:rFonts w:cs="Times New Roman"/>
                <w:szCs w:val="21"/>
                <w:highlight w:val="none"/>
              </w:rPr>
            </w:pPr>
            <w:r>
              <w:rPr>
                <w:rFonts w:hint="eastAsia" w:cs="Times New Roman"/>
                <w:szCs w:val="21"/>
                <w:highlight w:val="none"/>
              </w:rPr>
              <w:t>2</w:t>
            </w:r>
          </w:p>
        </w:tc>
        <w:tc>
          <w:tcPr>
            <w:tcW w:w="2137" w:type="dxa"/>
            <w:vMerge w:val="continue"/>
            <w:vAlign w:val="center"/>
          </w:tcPr>
          <w:p w14:paraId="621C3D34">
            <w:pPr>
              <w:spacing w:line="360" w:lineRule="exact"/>
              <w:jc w:val="center"/>
              <w:rPr>
                <w:rFonts w:cs="Times New Roman"/>
                <w:szCs w:val="21"/>
                <w:highlight w:val="none"/>
              </w:rPr>
            </w:pPr>
          </w:p>
        </w:tc>
        <w:tc>
          <w:tcPr>
            <w:tcW w:w="1984" w:type="dxa"/>
            <w:vAlign w:val="center"/>
          </w:tcPr>
          <w:p w14:paraId="5D4AF5F6">
            <w:pPr>
              <w:spacing w:line="360" w:lineRule="exact"/>
              <w:jc w:val="center"/>
              <w:rPr>
                <w:rFonts w:cs="Times New Roman"/>
                <w:szCs w:val="21"/>
                <w:highlight w:val="none"/>
              </w:rPr>
            </w:pPr>
            <w:r>
              <w:rPr>
                <w:rFonts w:hint="eastAsia" w:cs="Times New Roman"/>
                <w:szCs w:val="21"/>
                <w:highlight w:val="none"/>
              </w:rPr>
              <w:t>PE32</w:t>
            </w:r>
          </w:p>
        </w:tc>
        <w:tc>
          <w:tcPr>
            <w:tcW w:w="709" w:type="dxa"/>
            <w:vAlign w:val="center"/>
          </w:tcPr>
          <w:p w14:paraId="392ECF65">
            <w:pPr>
              <w:spacing w:line="360" w:lineRule="exact"/>
              <w:jc w:val="center"/>
              <w:rPr>
                <w:rFonts w:cs="Times New Roman"/>
                <w:szCs w:val="21"/>
                <w:highlight w:val="none"/>
              </w:rPr>
            </w:pPr>
            <w:r>
              <w:rPr>
                <w:rFonts w:hint="eastAsia" w:cs="Times New Roman"/>
                <w:szCs w:val="21"/>
                <w:highlight w:val="none"/>
              </w:rPr>
              <w:t>米</w:t>
            </w:r>
          </w:p>
        </w:tc>
        <w:tc>
          <w:tcPr>
            <w:tcW w:w="1134" w:type="dxa"/>
            <w:vAlign w:val="center"/>
          </w:tcPr>
          <w:p w14:paraId="3199AE2E">
            <w:pPr>
              <w:spacing w:line="360" w:lineRule="exact"/>
              <w:jc w:val="center"/>
              <w:rPr>
                <w:rFonts w:hint="eastAsia" w:cs="Times New Roman"/>
                <w:szCs w:val="21"/>
                <w:highlight w:val="none"/>
              </w:rPr>
            </w:pPr>
            <w:r>
              <w:rPr>
                <w:rFonts w:hint="eastAsia" w:cs="Times New Roman"/>
                <w:szCs w:val="21"/>
                <w:highlight w:val="none"/>
                <w:lang w:val="en-US" w:eastAsia="zh-CN"/>
              </w:rPr>
              <w:t>6000</w:t>
            </w:r>
          </w:p>
        </w:tc>
        <w:tc>
          <w:tcPr>
            <w:tcW w:w="851" w:type="dxa"/>
            <w:vAlign w:val="center"/>
          </w:tcPr>
          <w:p w14:paraId="35F756FE">
            <w:pPr>
              <w:spacing w:line="360" w:lineRule="exact"/>
              <w:jc w:val="right"/>
              <w:rPr>
                <w:rFonts w:cs="Times New Roman"/>
                <w:szCs w:val="21"/>
                <w:highlight w:val="none"/>
              </w:rPr>
            </w:pPr>
          </w:p>
        </w:tc>
        <w:tc>
          <w:tcPr>
            <w:tcW w:w="1275" w:type="dxa"/>
            <w:shd w:val="clear" w:color="auto" w:fill="auto"/>
            <w:vAlign w:val="center"/>
          </w:tcPr>
          <w:p w14:paraId="48320CF7">
            <w:pPr>
              <w:spacing w:line="360" w:lineRule="exact"/>
              <w:jc w:val="right"/>
              <w:rPr>
                <w:rFonts w:cs="Times New Roman"/>
                <w:szCs w:val="21"/>
                <w:highlight w:val="none"/>
              </w:rPr>
            </w:pPr>
          </w:p>
        </w:tc>
        <w:tc>
          <w:tcPr>
            <w:tcW w:w="1207" w:type="dxa"/>
            <w:vMerge w:val="continue"/>
            <w:vAlign w:val="center"/>
          </w:tcPr>
          <w:p w14:paraId="7B581C8F">
            <w:pPr>
              <w:spacing w:line="360" w:lineRule="exact"/>
              <w:jc w:val="center"/>
              <w:rPr>
                <w:rFonts w:cs="Times New Roman"/>
                <w:szCs w:val="21"/>
                <w:highlight w:val="none"/>
              </w:rPr>
            </w:pPr>
          </w:p>
        </w:tc>
      </w:tr>
      <w:tr w14:paraId="19BC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490" w:type="dxa"/>
            <w:vAlign w:val="center"/>
          </w:tcPr>
          <w:p w14:paraId="6E22946F">
            <w:pPr>
              <w:spacing w:line="360" w:lineRule="exact"/>
              <w:jc w:val="center"/>
              <w:rPr>
                <w:rFonts w:cs="Times New Roman"/>
                <w:szCs w:val="21"/>
                <w:highlight w:val="none"/>
              </w:rPr>
            </w:pPr>
            <w:r>
              <w:rPr>
                <w:rFonts w:hint="eastAsia" w:cs="Times New Roman"/>
                <w:szCs w:val="21"/>
                <w:highlight w:val="none"/>
              </w:rPr>
              <w:t>3</w:t>
            </w:r>
          </w:p>
        </w:tc>
        <w:tc>
          <w:tcPr>
            <w:tcW w:w="2137" w:type="dxa"/>
            <w:vMerge w:val="continue"/>
            <w:vAlign w:val="center"/>
          </w:tcPr>
          <w:p w14:paraId="3F176FF6">
            <w:pPr>
              <w:spacing w:line="360" w:lineRule="exact"/>
              <w:jc w:val="center"/>
              <w:rPr>
                <w:rFonts w:cs="Times New Roman"/>
                <w:szCs w:val="21"/>
                <w:highlight w:val="none"/>
              </w:rPr>
            </w:pPr>
          </w:p>
        </w:tc>
        <w:tc>
          <w:tcPr>
            <w:tcW w:w="1984" w:type="dxa"/>
            <w:vAlign w:val="center"/>
          </w:tcPr>
          <w:p w14:paraId="2932080E">
            <w:pPr>
              <w:spacing w:line="360" w:lineRule="exact"/>
              <w:jc w:val="center"/>
              <w:rPr>
                <w:rFonts w:cs="Times New Roman"/>
                <w:szCs w:val="21"/>
                <w:highlight w:val="none"/>
              </w:rPr>
            </w:pPr>
            <w:r>
              <w:rPr>
                <w:rFonts w:hint="eastAsia" w:cs="Times New Roman"/>
                <w:szCs w:val="21"/>
                <w:highlight w:val="none"/>
              </w:rPr>
              <w:t>PE50</w:t>
            </w:r>
          </w:p>
        </w:tc>
        <w:tc>
          <w:tcPr>
            <w:tcW w:w="709" w:type="dxa"/>
            <w:vAlign w:val="center"/>
          </w:tcPr>
          <w:p w14:paraId="612C715A">
            <w:pPr>
              <w:spacing w:line="360" w:lineRule="exact"/>
              <w:jc w:val="center"/>
              <w:rPr>
                <w:rFonts w:cs="Times New Roman"/>
                <w:szCs w:val="21"/>
                <w:highlight w:val="none"/>
              </w:rPr>
            </w:pPr>
            <w:r>
              <w:rPr>
                <w:rFonts w:hint="eastAsia" w:cs="Times New Roman"/>
                <w:szCs w:val="21"/>
                <w:highlight w:val="none"/>
              </w:rPr>
              <w:t>米</w:t>
            </w:r>
          </w:p>
        </w:tc>
        <w:tc>
          <w:tcPr>
            <w:tcW w:w="1134" w:type="dxa"/>
            <w:vAlign w:val="center"/>
          </w:tcPr>
          <w:p w14:paraId="0C4434AE">
            <w:pPr>
              <w:spacing w:line="360" w:lineRule="exact"/>
              <w:jc w:val="center"/>
              <w:rPr>
                <w:rFonts w:hint="eastAsia" w:cs="Times New Roman"/>
                <w:szCs w:val="21"/>
                <w:highlight w:val="none"/>
              </w:rPr>
            </w:pPr>
            <w:r>
              <w:rPr>
                <w:rFonts w:hint="eastAsia" w:cs="Times New Roman"/>
                <w:szCs w:val="21"/>
                <w:highlight w:val="none"/>
                <w:lang w:val="en-US" w:eastAsia="zh-CN"/>
              </w:rPr>
              <w:t>17500</w:t>
            </w:r>
          </w:p>
        </w:tc>
        <w:tc>
          <w:tcPr>
            <w:tcW w:w="851" w:type="dxa"/>
            <w:vAlign w:val="center"/>
          </w:tcPr>
          <w:p w14:paraId="79EF6ECE">
            <w:pPr>
              <w:spacing w:line="360" w:lineRule="exact"/>
              <w:jc w:val="right"/>
              <w:rPr>
                <w:rFonts w:cs="Times New Roman"/>
                <w:szCs w:val="21"/>
                <w:highlight w:val="none"/>
              </w:rPr>
            </w:pPr>
          </w:p>
        </w:tc>
        <w:tc>
          <w:tcPr>
            <w:tcW w:w="1275" w:type="dxa"/>
            <w:shd w:val="clear" w:color="auto" w:fill="auto"/>
            <w:vAlign w:val="center"/>
          </w:tcPr>
          <w:p w14:paraId="549B5D59">
            <w:pPr>
              <w:spacing w:line="360" w:lineRule="exact"/>
              <w:jc w:val="right"/>
              <w:rPr>
                <w:rFonts w:cs="Times New Roman"/>
                <w:szCs w:val="21"/>
                <w:highlight w:val="none"/>
              </w:rPr>
            </w:pPr>
          </w:p>
        </w:tc>
        <w:tc>
          <w:tcPr>
            <w:tcW w:w="1207" w:type="dxa"/>
            <w:vMerge w:val="continue"/>
            <w:vAlign w:val="center"/>
          </w:tcPr>
          <w:p w14:paraId="72358AF1">
            <w:pPr>
              <w:spacing w:line="360" w:lineRule="exact"/>
              <w:jc w:val="center"/>
              <w:rPr>
                <w:rFonts w:cs="Times New Roman"/>
                <w:szCs w:val="21"/>
                <w:highlight w:val="none"/>
              </w:rPr>
            </w:pPr>
          </w:p>
        </w:tc>
      </w:tr>
      <w:tr w14:paraId="16001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490" w:type="dxa"/>
            <w:vAlign w:val="center"/>
          </w:tcPr>
          <w:p w14:paraId="3110E1E2">
            <w:pPr>
              <w:spacing w:line="360" w:lineRule="exact"/>
              <w:jc w:val="center"/>
              <w:rPr>
                <w:rFonts w:cs="Times New Roman"/>
                <w:szCs w:val="21"/>
                <w:highlight w:val="none"/>
              </w:rPr>
            </w:pPr>
            <w:r>
              <w:rPr>
                <w:rFonts w:hint="eastAsia" w:cs="Times New Roman"/>
                <w:szCs w:val="21"/>
                <w:highlight w:val="none"/>
              </w:rPr>
              <w:t>4</w:t>
            </w:r>
          </w:p>
        </w:tc>
        <w:tc>
          <w:tcPr>
            <w:tcW w:w="2137" w:type="dxa"/>
            <w:vMerge w:val="continue"/>
            <w:vAlign w:val="center"/>
          </w:tcPr>
          <w:p w14:paraId="1F4144EF">
            <w:pPr>
              <w:spacing w:line="360" w:lineRule="exact"/>
              <w:jc w:val="center"/>
              <w:rPr>
                <w:rFonts w:cs="Times New Roman"/>
                <w:szCs w:val="21"/>
                <w:highlight w:val="none"/>
              </w:rPr>
            </w:pPr>
          </w:p>
        </w:tc>
        <w:tc>
          <w:tcPr>
            <w:tcW w:w="1984" w:type="dxa"/>
            <w:vAlign w:val="center"/>
          </w:tcPr>
          <w:p w14:paraId="114AEB72">
            <w:pPr>
              <w:spacing w:line="360" w:lineRule="exact"/>
              <w:jc w:val="center"/>
              <w:rPr>
                <w:rFonts w:cs="Times New Roman"/>
                <w:szCs w:val="21"/>
                <w:highlight w:val="none"/>
              </w:rPr>
            </w:pPr>
            <w:r>
              <w:rPr>
                <w:rFonts w:hint="eastAsia" w:cs="Times New Roman"/>
                <w:szCs w:val="21"/>
                <w:highlight w:val="none"/>
              </w:rPr>
              <w:t>PE63</w:t>
            </w:r>
          </w:p>
        </w:tc>
        <w:tc>
          <w:tcPr>
            <w:tcW w:w="709" w:type="dxa"/>
            <w:vAlign w:val="center"/>
          </w:tcPr>
          <w:p w14:paraId="3C5EEC18">
            <w:pPr>
              <w:spacing w:line="360" w:lineRule="exact"/>
              <w:jc w:val="center"/>
              <w:rPr>
                <w:rFonts w:cs="Times New Roman"/>
                <w:szCs w:val="21"/>
                <w:highlight w:val="none"/>
              </w:rPr>
            </w:pPr>
            <w:r>
              <w:rPr>
                <w:rFonts w:hint="eastAsia" w:cs="Times New Roman"/>
                <w:szCs w:val="21"/>
                <w:highlight w:val="none"/>
              </w:rPr>
              <w:t>米</w:t>
            </w:r>
          </w:p>
        </w:tc>
        <w:tc>
          <w:tcPr>
            <w:tcW w:w="1134" w:type="dxa"/>
            <w:vAlign w:val="center"/>
          </w:tcPr>
          <w:p w14:paraId="62FF2653">
            <w:pPr>
              <w:spacing w:line="360" w:lineRule="exact"/>
              <w:jc w:val="center"/>
              <w:rPr>
                <w:rFonts w:hint="eastAsia" w:cs="Times New Roman"/>
                <w:szCs w:val="21"/>
                <w:highlight w:val="none"/>
              </w:rPr>
            </w:pPr>
            <w:r>
              <w:rPr>
                <w:rFonts w:hint="eastAsia" w:cs="Times New Roman"/>
                <w:szCs w:val="21"/>
                <w:highlight w:val="none"/>
                <w:lang w:val="en-US" w:eastAsia="zh-CN"/>
              </w:rPr>
              <w:t>60000</w:t>
            </w:r>
          </w:p>
        </w:tc>
        <w:tc>
          <w:tcPr>
            <w:tcW w:w="851" w:type="dxa"/>
            <w:vAlign w:val="center"/>
          </w:tcPr>
          <w:p w14:paraId="43C10398">
            <w:pPr>
              <w:spacing w:line="360" w:lineRule="exact"/>
              <w:jc w:val="right"/>
              <w:rPr>
                <w:rFonts w:cs="Times New Roman"/>
                <w:szCs w:val="21"/>
                <w:highlight w:val="none"/>
              </w:rPr>
            </w:pPr>
          </w:p>
        </w:tc>
        <w:tc>
          <w:tcPr>
            <w:tcW w:w="1275" w:type="dxa"/>
            <w:shd w:val="clear" w:color="auto" w:fill="auto"/>
            <w:vAlign w:val="center"/>
          </w:tcPr>
          <w:p w14:paraId="0DA2BEEC">
            <w:pPr>
              <w:spacing w:line="360" w:lineRule="exact"/>
              <w:jc w:val="right"/>
              <w:rPr>
                <w:rFonts w:cs="Times New Roman"/>
                <w:szCs w:val="21"/>
                <w:highlight w:val="none"/>
              </w:rPr>
            </w:pPr>
          </w:p>
        </w:tc>
        <w:tc>
          <w:tcPr>
            <w:tcW w:w="1207" w:type="dxa"/>
            <w:vMerge w:val="continue"/>
            <w:vAlign w:val="center"/>
          </w:tcPr>
          <w:p w14:paraId="7D93465F">
            <w:pPr>
              <w:spacing w:line="360" w:lineRule="exact"/>
              <w:jc w:val="center"/>
              <w:rPr>
                <w:rFonts w:cs="Times New Roman"/>
                <w:szCs w:val="21"/>
                <w:highlight w:val="none"/>
              </w:rPr>
            </w:pPr>
          </w:p>
        </w:tc>
      </w:tr>
      <w:tr w14:paraId="049B1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490" w:type="dxa"/>
            <w:vAlign w:val="center"/>
          </w:tcPr>
          <w:p w14:paraId="76DB11BC">
            <w:pPr>
              <w:spacing w:line="360" w:lineRule="exact"/>
              <w:jc w:val="center"/>
              <w:rPr>
                <w:rFonts w:cs="Times New Roman"/>
                <w:szCs w:val="21"/>
                <w:highlight w:val="none"/>
              </w:rPr>
            </w:pPr>
            <w:r>
              <w:rPr>
                <w:rFonts w:hint="eastAsia" w:cs="Times New Roman"/>
                <w:szCs w:val="21"/>
                <w:highlight w:val="none"/>
              </w:rPr>
              <w:t>5</w:t>
            </w:r>
          </w:p>
        </w:tc>
        <w:tc>
          <w:tcPr>
            <w:tcW w:w="2137" w:type="dxa"/>
            <w:vMerge w:val="continue"/>
            <w:vAlign w:val="center"/>
          </w:tcPr>
          <w:p w14:paraId="7DDDFC51">
            <w:pPr>
              <w:spacing w:line="360" w:lineRule="exact"/>
              <w:jc w:val="center"/>
              <w:rPr>
                <w:rFonts w:cs="Times New Roman"/>
                <w:szCs w:val="21"/>
                <w:highlight w:val="none"/>
              </w:rPr>
            </w:pPr>
          </w:p>
        </w:tc>
        <w:tc>
          <w:tcPr>
            <w:tcW w:w="1984" w:type="dxa"/>
            <w:vAlign w:val="center"/>
          </w:tcPr>
          <w:p w14:paraId="2754E1E3">
            <w:pPr>
              <w:spacing w:line="360" w:lineRule="exact"/>
              <w:jc w:val="center"/>
              <w:rPr>
                <w:rFonts w:cs="Times New Roman"/>
                <w:szCs w:val="21"/>
                <w:highlight w:val="none"/>
              </w:rPr>
            </w:pPr>
            <w:r>
              <w:rPr>
                <w:rFonts w:hint="eastAsia" w:cs="Times New Roman"/>
                <w:szCs w:val="21"/>
                <w:highlight w:val="none"/>
              </w:rPr>
              <w:t>PE75</w:t>
            </w:r>
          </w:p>
        </w:tc>
        <w:tc>
          <w:tcPr>
            <w:tcW w:w="709" w:type="dxa"/>
            <w:vAlign w:val="center"/>
          </w:tcPr>
          <w:p w14:paraId="68E6F3C0">
            <w:pPr>
              <w:spacing w:line="360" w:lineRule="exact"/>
              <w:jc w:val="center"/>
              <w:rPr>
                <w:rFonts w:cs="Times New Roman"/>
                <w:szCs w:val="21"/>
                <w:highlight w:val="none"/>
              </w:rPr>
            </w:pPr>
            <w:r>
              <w:rPr>
                <w:rFonts w:hint="eastAsia" w:cs="Times New Roman"/>
                <w:szCs w:val="21"/>
                <w:highlight w:val="none"/>
              </w:rPr>
              <w:t>米</w:t>
            </w:r>
          </w:p>
        </w:tc>
        <w:tc>
          <w:tcPr>
            <w:tcW w:w="1134" w:type="dxa"/>
            <w:vAlign w:val="center"/>
          </w:tcPr>
          <w:p w14:paraId="6D0DB9C1">
            <w:pPr>
              <w:spacing w:line="360" w:lineRule="exact"/>
              <w:jc w:val="center"/>
              <w:rPr>
                <w:rFonts w:hint="eastAsia" w:cs="Times New Roman"/>
                <w:szCs w:val="21"/>
                <w:highlight w:val="none"/>
              </w:rPr>
            </w:pPr>
            <w:r>
              <w:rPr>
                <w:rFonts w:hint="eastAsia" w:cs="Times New Roman"/>
                <w:szCs w:val="21"/>
                <w:highlight w:val="none"/>
                <w:lang w:val="en-US" w:eastAsia="zh-CN"/>
              </w:rPr>
              <w:t>500</w:t>
            </w:r>
          </w:p>
        </w:tc>
        <w:tc>
          <w:tcPr>
            <w:tcW w:w="851" w:type="dxa"/>
            <w:vAlign w:val="center"/>
          </w:tcPr>
          <w:p w14:paraId="66FDBACF">
            <w:pPr>
              <w:spacing w:line="360" w:lineRule="exact"/>
              <w:jc w:val="right"/>
              <w:rPr>
                <w:rFonts w:cs="Times New Roman"/>
                <w:szCs w:val="21"/>
                <w:highlight w:val="none"/>
              </w:rPr>
            </w:pPr>
          </w:p>
        </w:tc>
        <w:tc>
          <w:tcPr>
            <w:tcW w:w="1275" w:type="dxa"/>
            <w:shd w:val="clear" w:color="auto" w:fill="auto"/>
            <w:vAlign w:val="center"/>
          </w:tcPr>
          <w:p w14:paraId="37BE4427">
            <w:pPr>
              <w:spacing w:line="360" w:lineRule="exact"/>
              <w:jc w:val="right"/>
              <w:rPr>
                <w:rFonts w:cs="Times New Roman"/>
                <w:szCs w:val="21"/>
                <w:highlight w:val="none"/>
              </w:rPr>
            </w:pPr>
          </w:p>
        </w:tc>
        <w:tc>
          <w:tcPr>
            <w:tcW w:w="1207" w:type="dxa"/>
            <w:vMerge w:val="continue"/>
            <w:vAlign w:val="center"/>
          </w:tcPr>
          <w:p w14:paraId="69C8A4C3">
            <w:pPr>
              <w:spacing w:line="360" w:lineRule="exact"/>
              <w:jc w:val="center"/>
              <w:rPr>
                <w:rFonts w:cs="Times New Roman"/>
                <w:szCs w:val="21"/>
                <w:highlight w:val="none"/>
              </w:rPr>
            </w:pPr>
          </w:p>
        </w:tc>
      </w:tr>
      <w:tr w14:paraId="0FC39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490" w:type="dxa"/>
            <w:vAlign w:val="center"/>
          </w:tcPr>
          <w:p w14:paraId="2546F4E3">
            <w:pPr>
              <w:spacing w:line="360" w:lineRule="exact"/>
              <w:jc w:val="center"/>
              <w:rPr>
                <w:rFonts w:cs="Times New Roman"/>
                <w:szCs w:val="21"/>
                <w:highlight w:val="none"/>
              </w:rPr>
            </w:pPr>
            <w:r>
              <w:rPr>
                <w:rFonts w:hint="eastAsia" w:cs="Times New Roman"/>
                <w:szCs w:val="21"/>
                <w:highlight w:val="none"/>
              </w:rPr>
              <w:t>6</w:t>
            </w:r>
          </w:p>
        </w:tc>
        <w:tc>
          <w:tcPr>
            <w:tcW w:w="2137" w:type="dxa"/>
            <w:vMerge w:val="continue"/>
            <w:vAlign w:val="center"/>
          </w:tcPr>
          <w:p w14:paraId="1FBDD417">
            <w:pPr>
              <w:spacing w:line="360" w:lineRule="exact"/>
              <w:jc w:val="center"/>
              <w:rPr>
                <w:rFonts w:cs="Times New Roman"/>
                <w:szCs w:val="21"/>
                <w:highlight w:val="none"/>
              </w:rPr>
            </w:pPr>
          </w:p>
        </w:tc>
        <w:tc>
          <w:tcPr>
            <w:tcW w:w="1984" w:type="dxa"/>
            <w:vAlign w:val="center"/>
          </w:tcPr>
          <w:p w14:paraId="7B876C36">
            <w:pPr>
              <w:spacing w:line="360" w:lineRule="exact"/>
              <w:jc w:val="center"/>
              <w:rPr>
                <w:rFonts w:cs="Times New Roman"/>
                <w:szCs w:val="21"/>
                <w:highlight w:val="none"/>
              </w:rPr>
            </w:pPr>
            <w:r>
              <w:rPr>
                <w:rFonts w:hint="eastAsia" w:cs="Times New Roman"/>
                <w:szCs w:val="21"/>
                <w:highlight w:val="none"/>
              </w:rPr>
              <w:t>PE110</w:t>
            </w:r>
          </w:p>
        </w:tc>
        <w:tc>
          <w:tcPr>
            <w:tcW w:w="709" w:type="dxa"/>
            <w:vAlign w:val="center"/>
          </w:tcPr>
          <w:p w14:paraId="72309080">
            <w:pPr>
              <w:spacing w:line="360" w:lineRule="exact"/>
              <w:jc w:val="center"/>
              <w:rPr>
                <w:rFonts w:cs="Times New Roman"/>
                <w:szCs w:val="21"/>
                <w:highlight w:val="none"/>
              </w:rPr>
            </w:pPr>
            <w:r>
              <w:rPr>
                <w:rFonts w:hint="eastAsia" w:cs="Times New Roman"/>
                <w:szCs w:val="21"/>
                <w:highlight w:val="none"/>
              </w:rPr>
              <w:t>米</w:t>
            </w:r>
          </w:p>
        </w:tc>
        <w:tc>
          <w:tcPr>
            <w:tcW w:w="1134" w:type="dxa"/>
            <w:vAlign w:val="center"/>
          </w:tcPr>
          <w:p w14:paraId="4D925652">
            <w:pPr>
              <w:spacing w:line="360" w:lineRule="exact"/>
              <w:jc w:val="center"/>
              <w:rPr>
                <w:rFonts w:hint="eastAsia" w:cs="Times New Roman"/>
                <w:szCs w:val="21"/>
                <w:highlight w:val="none"/>
              </w:rPr>
            </w:pPr>
            <w:r>
              <w:rPr>
                <w:rFonts w:hint="eastAsia" w:cs="Times New Roman"/>
                <w:szCs w:val="21"/>
                <w:highlight w:val="none"/>
                <w:lang w:val="en-US" w:eastAsia="zh-CN"/>
              </w:rPr>
              <w:t>750</w:t>
            </w:r>
          </w:p>
        </w:tc>
        <w:tc>
          <w:tcPr>
            <w:tcW w:w="851" w:type="dxa"/>
            <w:vAlign w:val="center"/>
          </w:tcPr>
          <w:p w14:paraId="7565B33D">
            <w:pPr>
              <w:spacing w:line="360" w:lineRule="exact"/>
              <w:jc w:val="right"/>
              <w:rPr>
                <w:rFonts w:cs="Times New Roman"/>
                <w:szCs w:val="21"/>
                <w:highlight w:val="none"/>
              </w:rPr>
            </w:pPr>
          </w:p>
        </w:tc>
        <w:tc>
          <w:tcPr>
            <w:tcW w:w="1275" w:type="dxa"/>
            <w:shd w:val="clear" w:color="auto" w:fill="auto"/>
            <w:vAlign w:val="center"/>
          </w:tcPr>
          <w:p w14:paraId="26BB8584">
            <w:pPr>
              <w:spacing w:line="360" w:lineRule="exact"/>
              <w:jc w:val="right"/>
              <w:rPr>
                <w:rFonts w:cs="Times New Roman"/>
                <w:szCs w:val="21"/>
                <w:highlight w:val="none"/>
              </w:rPr>
            </w:pPr>
          </w:p>
        </w:tc>
        <w:tc>
          <w:tcPr>
            <w:tcW w:w="1207" w:type="dxa"/>
            <w:vMerge w:val="continue"/>
            <w:vAlign w:val="center"/>
          </w:tcPr>
          <w:p w14:paraId="539D2D98">
            <w:pPr>
              <w:spacing w:line="360" w:lineRule="exact"/>
              <w:jc w:val="center"/>
              <w:rPr>
                <w:rFonts w:cs="Times New Roman"/>
                <w:szCs w:val="21"/>
                <w:highlight w:val="none"/>
              </w:rPr>
            </w:pPr>
          </w:p>
        </w:tc>
      </w:tr>
      <w:tr w14:paraId="64E93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490" w:type="dxa"/>
            <w:vAlign w:val="center"/>
          </w:tcPr>
          <w:p w14:paraId="34640A88">
            <w:pPr>
              <w:tabs>
                <w:tab w:val="left" w:pos="5325"/>
              </w:tabs>
              <w:jc w:val="center"/>
              <w:rPr>
                <w:rFonts w:cs="Times New Roman"/>
                <w:szCs w:val="21"/>
                <w:highlight w:val="none"/>
              </w:rPr>
            </w:pPr>
            <w:r>
              <w:rPr>
                <w:rFonts w:hint="eastAsia" w:cs="Times New Roman"/>
                <w:szCs w:val="21"/>
                <w:highlight w:val="none"/>
              </w:rPr>
              <w:t>7</w:t>
            </w:r>
          </w:p>
        </w:tc>
        <w:tc>
          <w:tcPr>
            <w:tcW w:w="2137" w:type="dxa"/>
            <w:vMerge w:val="restart"/>
            <w:vAlign w:val="center"/>
          </w:tcPr>
          <w:p w14:paraId="46990587">
            <w:pPr>
              <w:spacing w:line="360" w:lineRule="exact"/>
              <w:jc w:val="center"/>
              <w:rPr>
                <w:rFonts w:cs="Times New Roman"/>
                <w:szCs w:val="21"/>
                <w:highlight w:val="none"/>
              </w:rPr>
            </w:pPr>
            <w:r>
              <w:rPr>
                <w:rFonts w:hint="eastAsia" w:cs="Times New Roman"/>
                <w:szCs w:val="21"/>
                <w:highlight w:val="none"/>
              </w:rPr>
              <w:t>聚乙烯树脂白管</w:t>
            </w:r>
          </w:p>
          <w:p w14:paraId="6DC872F9">
            <w:pPr>
              <w:spacing w:line="360" w:lineRule="exact"/>
              <w:jc w:val="center"/>
              <w:rPr>
                <w:rFonts w:cs="Times New Roman"/>
                <w:szCs w:val="21"/>
                <w:highlight w:val="none"/>
              </w:rPr>
            </w:pPr>
            <w:r>
              <w:rPr>
                <w:rFonts w:hint="eastAsia" w:cs="Times New Roman"/>
                <w:szCs w:val="21"/>
                <w:highlight w:val="none"/>
              </w:rPr>
              <w:t>（非开挖施工用）</w:t>
            </w:r>
          </w:p>
        </w:tc>
        <w:tc>
          <w:tcPr>
            <w:tcW w:w="1984" w:type="dxa"/>
            <w:vAlign w:val="center"/>
          </w:tcPr>
          <w:p w14:paraId="14294E82">
            <w:pPr>
              <w:spacing w:line="360" w:lineRule="exact"/>
              <w:jc w:val="center"/>
              <w:rPr>
                <w:rFonts w:cs="Times New Roman"/>
                <w:szCs w:val="21"/>
                <w:highlight w:val="none"/>
              </w:rPr>
            </w:pPr>
            <w:r>
              <w:rPr>
                <w:rFonts w:hint="eastAsia" w:cs="Times New Roman"/>
                <w:szCs w:val="21"/>
                <w:highlight w:val="none"/>
              </w:rPr>
              <w:t>PE63(非开挖)</w:t>
            </w:r>
          </w:p>
        </w:tc>
        <w:tc>
          <w:tcPr>
            <w:tcW w:w="709" w:type="dxa"/>
            <w:vAlign w:val="center"/>
          </w:tcPr>
          <w:p w14:paraId="7E1C0711">
            <w:pPr>
              <w:spacing w:line="360" w:lineRule="exact"/>
              <w:jc w:val="center"/>
              <w:rPr>
                <w:rFonts w:cs="Times New Roman"/>
                <w:szCs w:val="21"/>
                <w:highlight w:val="none"/>
              </w:rPr>
            </w:pPr>
            <w:r>
              <w:rPr>
                <w:rFonts w:hint="eastAsia" w:cs="Times New Roman"/>
                <w:szCs w:val="21"/>
                <w:highlight w:val="none"/>
              </w:rPr>
              <w:t>米</w:t>
            </w:r>
          </w:p>
        </w:tc>
        <w:tc>
          <w:tcPr>
            <w:tcW w:w="1134" w:type="dxa"/>
            <w:vAlign w:val="center"/>
          </w:tcPr>
          <w:p w14:paraId="3D7B32F0">
            <w:pPr>
              <w:spacing w:line="360" w:lineRule="exact"/>
              <w:jc w:val="center"/>
              <w:rPr>
                <w:rFonts w:hint="eastAsia" w:cs="Times New Roman"/>
                <w:szCs w:val="21"/>
                <w:highlight w:val="none"/>
              </w:rPr>
            </w:pPr>
            <w:r>
              <w:rPr>
                <w:rFonts w:hint="eastAsia" w:cs="Times New Roman"/>
                <w:szCs w:val="21"/>
                <w:highlight w:val="none"/>
                <w:lang w:val="en-US" w:eastAsia="zh-CN"/>
              </w:rPr>
              <w:t>250</w:t>
            </w:r>
          </w:p>
        </w:tc>
        <w:tc>
          <w:tcPr>
            <w:tcW w:w="851" w:type="dxa"/>
            <w:vAlign w:val="center"/>
          </w:tcPr>
          <w:p w14:paraId="02CB3B85">
            <w:pPr>
              <w:spacing w:line="360" w:lineRule="exact"/>
              <w:jc w:val="right"/>
              <w:rPr>
                <w:rFonts w:cs="Times New Roman"/>
                <w:szCs w:val="21"/>
                <w:highlight w:val="none"/>
              </w:rPr>
            </w:pPr>
          </w:p>
        </w:tc>
        <w:tc>
          <w:tcPr>
            <w:tcW w:w="1275" w:type="dxa"/>
            <w:shd w:val="clear" w:color="auto" w:fill="auto"/>
            <w:vAlign w:val="center"/>
          </w:tcPr>
          <w:p w14:paraId="43C60C63">
            <w:pPr>
              <w:spacing w:line="360" w:lineRule="exact"/>
              <w:jc w:val="right"/>
              <w:rPr>
                <w:rFonts w:cs="Times New Roman"/>
                <w:szCs w:val="21"/>
                <w:highlight w:val="none"/>
              </w:rPr>
            </w:pPr>
          </w:p>
        </w:tc>
        <w:tc>
          <w:tcPr>
            <w:tcW w:w="1207" w:type="dxa"/>
            <w:vMerge w:val="continue"/>
            <w:vAlign w:val="center"/>
          </w:tcPr>
          <w:p w14:paraId="16C1AFD2">
            <w:pPr>
              <w:spacing w:line="360" w:lineRule="exact"/>
              <w:jc w:val="center"/>
              <w:rPr>
                <w:rFonts w:cs="Times New Roman"/>
                <w:szCs w:val="21"/>
                <w:highlight w:val="none"/>
              </w:rPr>
            </w:pPr>
          </w:p>
        </w:tc>
      </w:tr>
      <w:tr w14:paraId="30E4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490" w:type="dxa"/>
            <w:vAlign w:val="center"/>
          </w:tcPr>
          <w:p w14:paraId="695E4089">
            <w:pPr>
              <w:tabs>
                <w:tab w:val="left" w:pos="5325"/>
              </w:tabs>
              <w:jc w:val="center"/>
              <w:rPr>
                <w:rFonts w:cs="Times New Roman"/>
                <w:szCs w:val="21"/>
                <w:highlight w:val="none"/>
              </w:rPr>
            </w:pPr>
            <w:r>
              <w:rPr>
                <w:rFonts w:hint="eastAsia" w:cs="Times New Roman"/>
                <w:szCs w:val="21"/>
                <w:highlight w:val="none"/>
              </w:rPr>
              <w:t>8</w:t>
            </w:r>
          </w:p>
        </w:tc>
        <w:tc>
          <w:tcPr>
            <w:tcW w:w="2137" w:type="dxa"/>
            <w:vMerge w:val="continue"/>
            <w:vAlign w:val="center"/>
          </w:tcPr>
          <w:p w14:paraId="7C059114">
            <w:pPr>
              <w:spacing w:line="360" w:lineRule="exact"/>
              <w:jc w:val="center"/>
              <w:rPr>
                <w:rFonts w:cs="Times New Roman"/>
                <w:szCs w:val="21"/>
                <w:highlight w:val="none"/>
              </w:rPr>
            </w:pPr>
          </w:p>
        </w:tc>
        <w:tc>
          <w:tcPr>
            <w:tcW w:w="1984" w:type="dxa"/>
            <w:vAlign w:val="center"/>
          </w:tcPr>
          <w:p w14:paraId="16719A3A">
            <w:pPr>
              <w:spacing w:line="360" w:lineRule="exact"/>
              <w:jc w:val="center"/>
              <w:rPr>
                <w:rFonts w:cs="Times New Roman"/>
                <w:szCs w:val="21"/>
                <w:highlight w:val="none"/>
              </w:rPr>
            </w:pPr>
            <w:r>
              <w:rPr>
                <w:rFonts w:hint="eastAsia" w:cs="Times New Roman"/>
                <w:szCs w:val="21"/>
                <w:highlight w:val="none"/>
              </w:rPr>
              <w:t>PE110(非开挖)</w:t>
            </w:r>
          </w:p>
        </w:tc>
        <w:tc>
          <w:tcPr>
            <w:tcW w:w="709" w:type="dxa"/>
            <w:vAlign w:val="center"/>
          </w:tcPr>
          <w:p w14:paraId="4DCF9815">
            <w:pPr>
              <w:spacing w:line="360" w:lineRule="exact"/>
              <w:jc w:val="center"/>
              <w:rPr>
                <w:rFonts w:cs="Times New Roman"/>
                <w:szCs w:val="21"/>
                <w:highlight w:val="none"/>
              </w:rPr>
            </w:pPr>
            <w:r>
              <w:rPr>
                <w:rFonts w:hint="eastAsia" w:cs="Times New Roman"/>
                <w:szCs w:val="21"/>
                <w:highlight w:val="none"/>
              </w:rPr>
              <w:t>米</w:t>
            </w:r>
          </w:p>
        </w:tc>
        <w:tc>
          <w:tcPr>
            <w:tcW w:w="1134" w:type="dxa"/>
            <w:vAlign w:val="center"/>
          </w:tcPr>
          <w:p w14:paraId="527D1F7D">
            <w:pPr>
              <w:spacing w:line="360" w:lineRule="exact"/>
              <w:jc w:val="center"/>
              <w:rPr>
                <w:rFonts w:hint="eastAsia" w:cs="Times New Roman"/>
                <w:szCs w:val="21"/>
                <w:highlight w:val="none"/>
              </w:rPr>
            </w:pPr>
            <w:r>
              <w:rPr>
                <w:rFonts w:hint="eastAsia" w:cs="Times New Roman"/>
                <w:szCs w:val="21"/>
                <w:highlight w:val="none"/>
                <w:lang w:val="en-US" w:eastAsia="zh-CN"/>
              </w:rPr>
              <w:t>250</w:t>
            </w:r>
          </w:p>
        </w:tc>
        <w:tc>
          <w:tcPr>
            <w:tcW w:w="851" w:type="dxa"/>
            <w:vAlign w:val="center"/>
          </w:tcPr>
          <w:p w14:paraId="4F547FE1">
            <w:pPr>
              <w:spacing w:line="360" w:lineRule="exact"/>
              <w:jc w:val="right"/>
              <w:rPr>
                <w:rFonts w:cs="Times New Roman"/>
                <w:szCs w:val="21"/>
                <w:highlight w:val="none"/>
              </w:rPr>
            </w:pPr>
          </w:p>
        </w:tc>
        <w:tc>
          <w:tcPr>
            <w:tcW w:w="1275" w:type="dxa"/>
            <w:shd w:val="clear" w:color="auto" w:fill="auto"/>
            <w:vAlign w:val="center"/>
          </w:tcPr>
          <w:p w14:paraId="743C70B5">
            <w:pPr>
              <w:spacing w:line="360" w:lineRule="exact"/>
              <w:jc w:val="right"/>
              <w:rPr>
                <w:rFonts w:cs="Times New Roman"/>
                <w:szCs w:val="21"/>
                <w:highlight w:val="none"/>
              </w:rPr>
            </w:pPr>
          </w:p>
        </w:tc>
        <w:tc>
          <w:tcPr>
            <w:tcW w:w="1207" w:type="dxa"/>
            <w:vMerge w:val="continue"/>
            <w:vAlign w:val="center"/>
          </w:tcPr>
          <w:p w14:paraId="405F5221">
            <w:pPr>
              <w:spacing w:line="360" w:lineRule="exact"/>
              <w:jc w:val="center"/>
              <w:rPr>
                <w:rFonts w:cs="Times New Roman"/>
                <w:szCs w:val="21"/>
                <w:highlight w:val="none"/>
              </w:rPr>
            </w:pPr>
          </w:p>
        </w:tc>
      </w:tr>
      <w:tr w14:paraId="52C5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exact"/>
          <w:jc w:val="center"/>
        </w:trPr>
        <w:tc>
          <w:tcPr>
            <w:tcW w:w="2627" w:type="dxa"/>
            <w:gridSpan w:val="2"/>
            <w:vAlign w:val="center"/>
          </w:tcPr>
          <w:p w14:paraId="65B35B05">
            <w:pPr>
              <w:spacing w:line="360" w:lineRule="exact"/>
              <w:jc w:val="center"/>
              <w:rPr>
                <w:rFonts w:cs="Times New Roman"/>
                <w:szCs w:val="21"/>
                <w:highlight w:val="none"/>
              </w:rPr>
            </w:pPr>
            <w:r>
              <w:rPr>
                <w:rFonts w:hint="eastAsia" w:cs="Times New Roman"/>
                <w:szCs w:val="21"/>
                <w:highlight w:val="none"/>
              </w:rPr>
              <w:t>合    计</w:t>
            </w:r>
          </w:p>
        </w:tc>
        <w:tc>
          <w:tcPr>
            <w:tcW w:w="4678" w:type="dxa"/>
            <w:gridSpan w:val="4"/>
            <w:vAlign w:val="center"/>
          </w:tcPr>
          <w:p w14:paraId="3D1DE76F">
            <w:pPr>
              <w:spacing w:line="360" w:lineRule="exact"/>
              <w:jc w:val="left"/>
              <w:rPr>
                <w:rFonts w:cs="Times New Roman"/>
                <w:szCs w:val="21"/>
                <w:highlight w:val="none"/>
              </w:rPr>
            </w:pPr>
            <w:r>
              <w:rPr>
                <w:rFonts w:hint="eastAsia" w:cs="Times New Roman"/>
                <w:szCs w:val="21"/>
                <w:highlight w:val="none"/>
              </w:rPr>
              <w:t>（大写）</w:t>
            </w:r>
          </w:p>
        </w:tc>
        <w:tc>
          <w:tcPr>
            <w:tcW w:w="1275" w:type="dxa"/>
            <w:vAlign w:val="center"/>
          </w:tcPr>
          <w:p w14:paraId="5BE7F950">
            <w:pPr>
              <w:spacing w:line="360" w:lineRule="exact"/>
              <w:jc w:val="right"/>
              <w:rPr>
                <w:rFonts w:cs="Times New Roman"/>
                <w:szCs w:val="21"/>
                <w:highlight w:val="none"/>
              </w:rPr>
            </w:pPr>
          </w:p>
        </w:tc>
        <w:tc>
          <w:tcPr>
            <w:tcW w:w="1207" w:type="dxa"/>
            <w:vMerge w:val="continue"/>
            <w:vAlign w:val="center"/>
          </w:tcPr>
          <w:p w14:paraId="2B540660">
            <w:pPr>
              <w:spacing w:line="360" w:lineRule="exact"/>
              <w:jc w:val="center"/>
              <w:rPr>
                <w:rFonts w:cs="Times New Roman"/>
                <w:szCs w:val="21"/>
                <w:highlight w:val="none"/>
              </w:rPr>
            </w:pPr>
          </w:p>
        </w:tc>
      </w:tr>
      <w:tr w14:paraId="6E67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09" w:hRule="exact"/>
          <w:jc w:val="center"/>
        </w:trPr>
        <w:tc>
          <w:tcPr>
            <w:tcW w:w="2627" w:type="dxa"/>
            <w:gridSpan w:val="2"/>
            <w:vAlign w:val="center"/>
          </w:tcPr>
          <w:p w14:paraId="72F42557">
            <w:pPr>
              <w:spacing w:line="360" w:lineRule="exact"/>
              <w:jc w:val="center"/>
              <w:rPr>
                <w:rFonts w:cs="Times New Roman"/>
                <w:szCs w:val="21"/>
                <w:highlight w:val="none"/>
              </w:rPr>
            </w:pPr>
            <w:r>
              <w:rPr>
                <w:rFonts w:hint="eastAsia" w:cs="Times New Roman"/>
                <w:szCs w:val="21"/>
                <w:highlight w:val="none"/>
              </w:rPr>
              <w:t>备注</w:t>
            </w:r>
          </w:p>
        </w:tc>
        <w:tc>
          <w:tcPr>
            <w:tcW w:w="7160" w:type="dxa"/>
            <w:gridSpan w:val="6"/>
            <w:vAlign w:val="center"/>
          </w:tcPr>
          <w:p w14:paraId="53140849">
            <w:pPr>
              <w:tabs>
                <w:tab w:val="left" w:pos="5325"/>
              </w:tabs>
              <w:jc w:val="left"/>
              <w:rPr>
                <w:rFonts w:cs="Times New Roman"/>
                <w:szCs w:val="21"/>
                <w:highlight w:val="none"/>
              </w:rPr>
            </w:pPr>
            <w:r>
              <w:rPr>
                <w:rFonts w:cs="Times New Roman"/>
                <w:szCs w:val="21"/>
                <w:highlight w:val="none"/>
              </w:rPr>
              <w:t>1</w:t>
            </w:r>
            <w:r>
              <w:rPr>
                <w:rFonts w:hint="eastAsia" w:cs="Times New Roman"/>
                <w:szCs w:val="21"/>
                <w:highlight w:val="none"/>
              </w:rPr>
              <w:t>、需求量是暂估数量，根据工程实际需要各规格数量间可进行调整。</w:t>
            </w:r>
          </w:p>
          <w:p w14:paraId="77810111">
            <w:pPr>
              <w:spacing w:line="360" w:lineRule="exact"/>
              <w:jc w:val="left"/>
              <w:rPr>
                <w:rFonts w:cs="Times New Roman"/>
                <w:szCs w:val="21"/>
                <w:highlight w:val="none"/>
              </w:rPr>
            </w:pPr>
            <w:r>
              <w:rPr>
                <w:rFonts w:cs="Times New Roman"/>
                <w:szCs w:val="21"/>
                <w:highlight w:val="none"/>
              </w:rPr>
              <w:t>2</w:t>
            </w:r>
            <w:r>
              <w:rPr>
                <w:rFonts w:hint="eastAsia" w:cs="Times New Roman"/>
                <w:szCs w:val="21"/>
                <w:highlight w:val="none"/>
              </w:rPr>
              <w:t>、不因原材料价格涨跌而进行价格调整，中标单位必需根据工程实际需要进行供货，最终按单位实际采购量进行结算。</w:t>
            </w:r>
          </w:p>
        </w:tc>
      </w:tr>
    </w:tbl>
    <w:p w14:paraId="746F06CE">
      <w:pPr>
        <w:snapToGrid w:val="0"/>
        <w:spacing w:line="360" w:lineRule="auto"/>
        <w:ind w:firstLine="420" w:firstLineChars="200"/>
        <w:rPr>
          <w:rFonts w:cs="Times New Roman"/>
          <w:szCs w:val="21"/>
          <w:highlight w:val="none"/>
          <w:u w:val="single"/>
        </w:rPr>
      </w:pPr>
      <w:r>
        <w:rPr>
          <w:rFonts w:hint="eastAsia" w:cs="Times New Roman"/>
          <w:szCs w:val="21"/>
          <w:highlight w:val="none"/>
        </w:rPr>
        <w:t>三、质量要求、技术标准、供方对质量负责的条件和期限：</w:t>
      </w:r>
      <w:r>
        <w:rPr>
          <w:rFonts w:hint="eastAsia" w:cs="Times New Roman"/>
          <w:szCs w:val="21"/>
          <w:highlight w:val="none"/>
          <w:u w:val="single"/>
        </w:rPr>
        <w:t>国家有统一标准的，执行国家标准；国家没有统一标准的，执行厂家标准。需方有特殊要求的，按谈判文件中有关条款执行。</w:t>
      </w:r>
    </w:p>
    <w:p w14:paraId="441BB101">
      <w:pPr>
        <w:widowControl/>
        <w:shd w:val="clear" w:color="auto" w:fill="FFFFFF"/>
        <w:snapToGrid w:val="0"/>
        <w:spacing w:line="360" w:lineRule="auto"/>
        <w:ind w:firstLine="462" w:firstLineChars="220"/>
        <w:contextualSpacing/>
        <w:rPr>
          <w:rFonts w:cs="Times New Roman"/>
          <w:szCs w:val="21"/>
          <w:highlight w:val="none"/>
          <w:u w:val="single"/>
        </w:rPr>
      </w:pPr>
      <w:r>
        <w:rPr>
          <w:rFonts w:hint="eastAsia" w:cs="Times New Roman"/>
          <w:szCs w:val="21"/>
          <w:highlight w:val="none"/>
        </w:rPr>
        <w:t xml:space="preserve">四、交货期： </w:t>
      </w:r>
      <w:r>
        <w:rPr>
          <w:rFonts w:hint="eastAsia" w:cs="Times New Roman"/>
          <w:szCs w:val="21"/>
          <w:highlight w:val="none"/>
          <w:u w:val="single"/>
        </w:rPr>
        <w:t>自合同签定之日起7天内开始供货，供货数量必需满足业主工程需要的要求。</w:t>
      </w:r>
    </w:p>
    <w:p w14:paraId="79250E57">
      <w:pPr>
        <w:widowControl/>
        <w:shd w:val="clear" w:color="auto" w:fill="FFFFFF"/>
        <w:snapToGrid w:val="0"/>
        <w:spacing w:line="360" w:lineRule="auto"/>
        <w:ind w:firstLine="420" w:firstLineChars="200"/>
        <w:contextualSpacing/>
        <w:rPr>
          <w:rFonts w:cs="Times New Roman"/>
          <w:szCs w:val="21"/>
          <w:highlight w:val="none"/>
          <w:u w:val="single"/>
        </w:rPr>
      </w:pPr>
      <w:r>
        <w:rPr>
          <w:rFonts w:hint="eastAsia" w:cs="Times New Roman"/>
          <w:szCs w:val="21"/>
          <w:highlight w:val="none"/>
        </w:rPr>
        <w:t>五、交货（服务）地点：</w:t>
      </w:r>
      <w:r>
        <w:rPr>
          <w:rFonts w:hint="eastAsia" w:cs="Times New Roman"/>
          <w:szCs w:val="21"/>
          <w:highlight w:val="none"/>
          <w:u w:val="single"/>
        </w:rPr>
        <w:t>中标单位送货至南通市城市照明管理处指定的工程地点，并承担包装、运输和装卸费用。交付时应同时交付产品的检测报告、产品合格证。（分批次、数量不等、随叫随到）</w:t>
      </w:r>
    </w:p>
    <w:p w14:paraId="49EA0F1E">
      <w:pPr>
        <w:widowControl/>
        <w:shd w:val="clear" w:color="auto" w:fill="FFFFFF"/>
        <w:snapToGrid w:val="0"/>
        <w:spacing w:line="360" w:lineRule="auto"/>
        <w:ind w:firstLine="420" w:firstLineChars="200"/>
        <w:contextualSpacing/>
        <w:rPr>
          <w:rFonts w:cs="Times New Roman"/>
          <w:szCs w:val="21"/>
          <w:highlight w:val="none"/>
        </w:rPr>
      </w:pPr>
      <w:r>
        <w:rPr>
          <w:rFonts w:hint="eastAsia" w:cs="Times New Roman"/>
          <w:szCs w:val="21"/>
          <w:highlight w:val="none"/>
        </w:rPr>
        <w:t>六、需方验收前，货物损耗、运费、装卸费等由</w:t>
      </w:r>
      <w:r>
        <w:rPr>
          <w:rFonts w:hint="eastAsia" w:cs="Times New Roman"/>
          <w:szCs w:val="21"/>
          <w:highlight w:val="none"/>
          <w:u w:val="single"/>
        </w:rPr>
        <w:t xml:space="preserve"> 供 </w:t>
      </w:r>
      <w:r>
        <w:rPr>
          <w:rFonts w:hint="eastAsia" w:cs="Times New Roman"/>
          <w:szCs w:val="21"/>
          <w:highlight w:val="none"/>
        </w:rPr>
        <w:t>方承担。</w:t>
      </w:r>
      <w:r>
        <w:rPr>
          <w:rFonts w:hint="eastAsia" w:cs="Times New Roman"/>
          <w:szCs w:val="21"/>
          <w:highlight w:val="none"/>
          <w:u w:val="single"/>
        </w:rPr>
        <w:t xml:space="preserve">非城市照明管理处施工原因导致的多余材料概由厂方进行运输和保管，否则要按照规定支付材料保管费和二次搬运费 </w:t>
      </w:r>
      <w:r>
        <w:rPr>
          <w:rFonts w:hint="eastAsia" w:cs="Times New Roman"/>
          <w:szCs w:val="21"/>
          <w:highlight w:val="none"/>
        </w:rPr>
        <w:t>。</w:t>
      </w:r>
    </w:p>
    <w:p w14:paraId="66919E7E">
      <w:pPr>
        <w:snapToGrid w:val="0"/>
        <w:spacing w:line="360" w:lineRule="auto"/>
        <w:ind w:firstLine="420" w:firstLineChars="200"/>
        <w:rPr>
          <w:rFonts w:cs="Times New Roman"/>
          <w:szCs w:val="21"/>
          <w:highlight w:val="none"/>
        </w:rPr>
      </w:pPr>
      <w:r>
        <w:rPr>
          <w:rFonts w:hint="eastAsia" w:cs="Times New Roman"/>
          <w:szCs w:val="21"/>
          <w:highlight w:val="none"/>
        </w:rPr>
        <w:t>七、售后服务及其他：</w:t>
      </w:r>
      <w:r>
        <w:rPr>
          <w:rFonts w:hint="eastAsia" w:cs="Times New Roman"/>
          <w:szCs w:val="21"/>
          <w:highlight w:val="none"/>
          <w:u w:val="single"/>
        </w:rPr>
        <w:t xml:space="preserve">  需方视工程进度情况提前3到5小时通知送货。供方及时送到需方</w:t>
      </w:r>
      <w:r>
        <w:rPr>
          <w:rFonts w:hint="eastAsia" w:cs="Times New Roman"/>
          <w:szCs w:val="21"/>
          <w:highlight w:val="none"/>
          <w:u w:val="single"/>
          <w:lang w:eastAsia="zh-Hans"/>
        </w:rPr>
        <w:t>指</w:t>
      </w:r>
      <w:r>
        <w:rPr>
          <w:rFonts w:hint="eastAsia" w:cs="Times New Roman"/>
          <w:szCs w:val="21"/>
          <w:highlight w:val="none"/>
          <w:u w:val="single"/>
        </w:rPr>
        <w:t xml:space="preserve">定工程（由供方负责卸货）   </w:t>
      </w:r>
      <w:r>
        <w:rPr>
          <w:rFonts w:hint="eastAsia" w:cs="Times New Roman"/>
          <w:szCs w:val="21"/>
          <w:highlight w:val="none"/>
        </w:rPr>
        <w:t>。</w:t>
      </w:r>
    </w:p>
    <w:p w14:paraId="5A3C11F6">
      <w:pPr>
        <w:snapToGrid w:val="0"/>
        <w:spacing w:line="360" w:lineRule="auto"/>
        <w:ind w:firstLine="420" w:firstLineChars="200"/>
        <w:rPr>
          <w:rFonts w:cs="Times New Roman"/>
          <w:szCs w:val="21"/>
          <w:highlight w:val="none"/>
        </w:rPr>
      </w:pPr>
      <w:r>
        <w:rPr>
          <w:rFonts w:hint="eastAsia" w:cs="Times New Roman"/>
          <w:szCs w:val="21"/>
          <w:highlight w:val="none"/>
        </w:rPr>
        <w:t>八、验收标准、方法及提出异议期限：</w:t>
      </w:r>
      <w:r>
        <w:rPr>
          <w:rFonts w:hint="eastAsia" w:cs="Times New Roman"/>
          <w:szCs w:val="21"/>
          <w:highlight w:val="none"/>
          <w:u w:val="single"/>
        </w:rPr>
        <w:t>按谈判文件要求。</w:t>
      </w:r>
    </w:p>
    <w:p w14:paraId="035ADB5D">
      <w:pPr>
        <w:snapToGrid w:val="0"/>
        <w:spacing w:line="360" w:lineRule="auto"/>
        <w:ind w:firstLine="420" w:firstLineChars="200"/>
        <w:rPr>
          <w:rFonts w:cs="Times New Roman"/>
          <w:szCs w:val="21"/>
          <w:highlight w:val="none"/>
        </w:rPr>
      </w:pPr>
      <w:r>
        <w:rPr>
          <w:rFonts w:hint="eastAsia" w:cs="Times New Roman"/>
          <w:szCs w:val="21"/>
          <w:highlight w:val="none"/>
        </w:rPr>
        <w:t>九、随机必备品、配件、工具数量及供应方法：</w:t>
      </w:r>
      <w:r>
        <w:rPr>
          <w:rFonts w:hint="eastAsia" w:cs="Times New Roman"/>
          <w:szCs w:val="21"/>
          <w:highlight w:val="none"/>
          <w:u w:val="single"/>
        </w:rPr>
        <w:t xml:space="preserve"> 根据需方要求提供管接头  </w:t>
      </w:r>
      <w:r>
        <w:rPr>
          <w:rFonts w:hint="eastAsia" w:cs="Times New Roman"/>
          <w:szCs w:val="21"/>
          <w:highlight w:val="none"/>
        </w:rPr>
        <w:t>。</w:t>
      </w:r>
    </w:p>
    <w:p w14:paraId="197AF06B">
      <w:pPr>
        <w:snapToGrid w:val="0"/>
        <w:spacing w:line="360" w:lineRule="auto"/>
        <w:ind w:firstLine="420" w:firstLineChars="200"/>
        <w:rPr>
          <w:rFonts w:cs="Times New Roman"/>
          <w:szCs w:val="21"/>
          <w:highlight w:val="none"/>
          <w:u w:val="single"/>
        </w:rPr>
      </w:pPr>
      <w:r>
        <w:rPr>
          <w:rFonts w:hint="eastAsia" w:cs="Times New Roman"/>
          <w:szCs w:val="21"/>
          <w:highlight w:val="none"/>
        </w:rPr>
        <w:t>十、结算方式及期限：</w:t>
      </w:r>
      <w:r>
        <w:rPr>
          <w:rFonts w:hint="eastAsia" w:cs="Times New Roman"/>
          <w:szCs w:val="21"/>
          <w:highlight w:val="none"/>
          <w:u w:val="single"/>
        </w:rPr>
        <w:t>合同签订后，支付合同价的30%作为预付款；货物到位并验收合格后付至所供货物金额的50％（招标人优先在预付款额度中抵扣实际发生的应付款项），</w:t>
      </w:r>
      <w:r>
        <w:rPr>
          <w:rFonts w:hint="eastAsia" w:cs="Times New Roman"/>
          <w:szCs w:val="21"/>
          <w:highlight w:val="none"/>
          <w:u w:val="single"/>
          <w:lang w:eastAsia="zh-Hans"/>
        </w:rPr>
        <w:t>所供货物逐批验收合格后，满</w:t>
      </w:r>
      <w:r>
        <w:rPr>
          <w:rFonts w:hint="eastAsia" w:cs="Times New Roman"/>
          <w:szCs w:val="21"/>
          <w:highlight w:val="none"/>
          <w:u w:val="single"/>
        </w:rPr>
        <w:t>12个月时付清余款。</w:t>
      </w:r>
    </w:p>
    <w:p w14:paraId="21312C54">
      <w:pPr>
        <w:snapToGrid w:val="0"/>
        <w:spacing w:line="360" w:lineRule="auto"/>
        <w:ind w:firstLine="420" w:firstLineChars="200"/>
        <w:rPr>
          <w:rFonts w:cs="Times New Roman"/>
          <w:szCs w:val="21"/>
          <w:highlight w:val="none"/>
        </w:rPr>
      </w:pPr>
      <w:r>
        <w:rPr>
          <w:rFonts w:hint="eastAsia" w:cs="Times New Roman"/>
          <w:szCs w:val="21"/>
          <w:highlight w:val="none"/>
        </w:rPr>
        <w:t>十一、标的物所有权自</w:t>
      </w:r>
      <w:r>
        <w:rPr>
          <w:rFonts w:hint="eastAsia" w:cs="Times New Roman"/>
          <w:szCs w:val="21"/>
          <w:highlight w:val="none"/>
          <w:u w:val="single"/>
        </w:rPr>
        <w:t>现场移交</w:t>
      </w:r>
      <w:r>
        <w:rPr>
          <w:rFonts w:hint="eastAsia" w:cs="Times New Roman"/>
          <w:szCs w:val="21"/>
          <w:highlight w:val="none"/>
        </w:rPr>
        <w:t>时转移。</w:t>
      </w:r>
    </w:p>
    <w:p w14:paraId="60FF2B15">
      <w:pPr>
        <w:snapToGrid w:val="0"/>
        <w:spacing w:line="360" w:lineRule="auto"/>
        <w:ind w:firstLine="420" w:firstLineChars="200"/>
        <w:rPr>
          <w:rFonts w:cs="Times New Roman"/>
          <w:szCs w:val="21"/>
          <w:highlight w:val="none"/>
          <w:u w:val="single"/>
        </w:rPr>
      </w:pPr>
      <w:r>
        <w:rPr>
          <w:rFonts w:hint="eastAsia" w:cs="Times New Roman"/>
          <w:szCs w:val="21"/>
          <w:highlight w:val="none"/>
        </w:rPr>
        <w:t>十二、履约约定：</w:t>
      </w:r>
      <w:r>
        <w:rPr>
          <w:rFonts w:hint="eastAsia" w:cs="Times New Roman"/>
          <w:szCs w:val="21"/>
          <w:highlight w:val="none"/>
          <w:u w:val="single"/>
        </w:rPr>
        <w:t>需方因供方严重偏离招标技术标准供货，需方要求全部退货的，供方须付给需方合同总价款5%的违约金。并根据此次供货情况对需方造成的损失进行赔偿。在供货过程中，若未按期供货的每延迟1天将按未按期供货货款的1%予以扣减；若供货出现瑕疵但尚未影响使用，按供货货款的1-5%予以扣减。供方如若发生5次及以上不能按期、按质供货需方有权单方面停止采购，由此造成的损失由供方自行承担。</w:t>
      </w:r>
    </w:p>
    <w:p w14:paraId="340EC52D">
      <w:pPr>
        <w:snapToGrid w:val="0"/>
        <w:spacing w:line="360" w:lineRule="auto"/>
        <w:ind w:firstLine="420" w:firstLineChars="200"/>
        <w:rPr>
          <w:rFonts w:cs="Times New Roman"/>
          <w:szCs w:val="21"/>
          <w:highlight w:val="none"/>
        </w:rPr>
      </w:pPr>
      <w:r>
        <w:rPr>
          <w:rFonts w:hint="eastAsia" w:cs="Times New Roman"/>
          <w:szCs w:val="21"/>
          <w:highlight w:val="none"/>
        </w:rPr>
        <w:t>十三、本合同在履行过程中发生争议及解决纠纷方式：由双方当事人协商解决；也可提交当地财政政府采购管理部门或工商管理部门调解，协商或调解不成的，按下列第</w:t>
      </w:r>
      <w:r>
        <w:rPr>
          <w:rFonts w:hint="eastAsia" w:cs="Times New Roman"/>
          <w:szCs w:val="21"/>
          <w:highlight w:val="none"/>
          <w:u w:val="single"/>
        </w:rPr>
        <w:t xml:space="preserve"> 1 </w:t>
      </w:r>
      <w:r>
        <w:rPr>
          <w:rFonts w:hint="eastAsia" w:cs="Times New Roman"/>
          <w:szCs w:val="21"/>
          <w:highlight w:val="none"/>
        </w:rPr>
        <w:t>种方式解决：</w:t>
      </w:r>
    </w:p>
    <w:p w14:paraId="74F551D3">
      <w:pPr>
        <w:snapToGrid w:val="0"/>
        <w:spacing w:line="360" w:lineRule="auto"/>
        <w:ind w:firstLine="420" w:firstLineChars="200"/>
        <w:rPr>
          <w:rFonts w:cs="Times New Roman"/>
          <w:szCs w:val="21"/>
          <w:highlight w:val="none"/>
        </w:rPr>
      </w:pPr>
      <w:r>
        <w:rPr>
          <w:rFonts w:hint="eastAsia" w:cs="Times New Roman"/>
          <w:szCs w:val="21"/>
          <w:highlight w:val="none"/>
        </w:rPr>
        <w:t>1、提交南通仲裁委员会仲裁。2、依法向人民法院起诉。</w:t>
      </w:r>
    </w:p>
    <w:p w14:paraId="33CAF22C">
      <w:pPr>
        <w:snapToGrid w:val="0"/>
        <w:spacing w:line="360" w:lineRule="auto"/>
        <w:ind w:firstLine="315" w:firstLineChars="150"/>
        <w:rPr>
          <w:rFonts w:cs="Times New Roman"/>
          <w:szCs w:val="21"/>
          <w:highlight w:val="none"/>
        </w:rPr>
      </w:pPr>
      <w:r>
        <w:rPr>
          <w:rFonts w:hint="eastAsia" w:cs="Times New Roman"/>
          <w:szCs w:val="21"/>
          <w:highlight w:val="none"/>
        </w:rPr>
        <w:t>十四、合同经</w:t>
      </w:r>
      <w:r>
        <w:rPr>
          <w:rFonts w:hint="eastAsia" w:cs="Times New Roman"/>
          <w:szCs w:val="21"/>
          <w:highlight w:val="none"/>
          <w:lang w:eastAsia="zh-Hans"/>
        </w:rPr>
        <w:t>签署</w:t>
      </w:r>
      <w:r>
        <w:rPr>
          <w:rFonts w:hint="eastAsia" w:cs="Times New Roman"/>
          <w:szCs w:val="21"/>
          <w:highlight w:val="none"/>
        </w:rPr>
        <w:t>后生效。谈判文件和谈判响应文件是合同的附件，与合同有同等效力。</w:t>
      </w:r>
    </w:p>
    <w:p w14:paraId="6881A722">
      <w:pPr>
        <w:snapToGrid w:val="0"/>
        <w:spacing w:line="360" w:lineRule="auto"/>
        <w:ind w:firstLine="319" w:firstLineChars="152"/>
        <w:rPr>
          <w:rFonts w:cs="Times New Roman"/>
          <w:w w:val="90"/>
          <w:szCs w:val="21"/>
          <w:highlight w:val="none"/>
        </w:rPr>
      </w:pPr>
      <w:r>
        <w:rPr>
          <w:rFonts w:hint="eastAsia" w:cs="Times New Roman"/>
          <w:szCs w:val="21"/>
          <w:highlight w:val="none"/>
        </w:rPr>
        <w:t>十五、本合同一式两份。供方、需方各一份。</w:t>
      </w:r>
    </w:p>
    <w:tbl>
      <w:tblPr>
        <w:tblStyle w:val="32"/>
        <w:tblW w:w="4387" w:type="pct"/>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1"/>
        <w:gridCol w:w="4008"/>
      </w:tblGrid>
      <w:tr w14:paraId="7A828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trPr>
        <w:tc>
          <w:tcPr>
            <w:tcW w:w="2541" w:type="pct"/>
            <w:vAlign w:val="center"/>
          </w:tcPr>
          <w:p w14:paraId="7EB0AB67">
            <w:pPr>
              <w:spacing w:line="360" w:lineRule="auto"/>
              <w:jc w:val="center"/>
              <w:rPr>
                <w:rFonts w:cs="Times New Roman"/>
                <w:szCs w:val="21"/>
                <w:highlight w:val="none"/>
              </w:rPr>
            </w:pPr>
            <w:r>
              <w:rPr>
                <w:rFonts w:hint="eastAsia" w:cs="Times New Roman"/>
                <w:szCs w:val="21"/>
                <w:highlight w:val="none"/>
              </w:rPr>
              <w:t>供方</w:t>
            </w:r>
          </w:p>
        </w:tc>
        <w:tc>
          <w:tcPr>
            <w:tcW w:w="2459" w:type="pct"/>
            <w:vAlign w:val="center"/>
          </w:tcPr>
          <w:p w14:paraId="00D55AD0">
            <w:pPr>
              <w:spacing w:line="360" w:lineRule="auto"/>
              <w:jc w:val="center"/>
              <w:rPr>
                <w:rFonts w:cs="Times New Roman"/>
                <w:szCs w:val="21"/>
                <w:highlight w:val="none"/>
              </w:rPr>
            </w:pPr>
            <w:r>
              <w:rPr>
                <w:rFonts w:hint="eastAsia" w:cs="Times New Roman"/>
                <w:szCs w:val="21"/>
                <w:highlight w:val="none"/>
              </w:rPr>
              <w:t>需方</w:t>
            </w:r>
          </w:p>
        </w:tc>
      </w:tr>
      <w:tr w14:paraId="2A06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trPr>
        <w:tc>
          <w:tcPr>
            <w:tcW w:w="2541" w:type="pct"/>
            <w:vAlign w:val="center"/>
          </w:tcPr>
          <w:p w14:paraId="4E1D9E8D">
            <w:pPr>
              <w:spacing w:line="360" w:lineRule="auto"/>
              <w:rPr>
                <w:rFonts w:cs="Times New Roman"/>
                <w:szCs w:val="21"/>
                <w:highlight w:val="none"/>
              </w:rPr>
            </w:pPr>
            <w:r>
              <w:rPr>
                <w:rFonts w:hint="eastAsia" w:cs="Times New Roman"/>
                <w:szCs w:val="21"/>
                <w:highlight w:val="none"/>
              </w:rPr>
              <w:t>法定代表人或授权人：</w:t>
            </w:r>
          </w:p>
          <w:p w14:paraId="1C45AD8B">
            <w:pPr>
              <w:spacing w:line="360" w:lineRule="auto"/>
              <w:rPr>
                <w:rFonts w:cs="Times New Roman"/>
                <w:szCs w:val="21"/>
                <w:highlight w:val="none"/>
              </w:rPr>
            </w:pPr>
          </w:p>
          <w:p w14:paraId="074314A3">
            <w:pPr>
              <w:spacing w:line="360" w:lineRule="auto"/>
              <w:rPr>
                <w:rFonts w:cs="Times New Roman"/>
                <w:szCs w:val="21"/>
                <w:highlight w:val="none"/>
              </w:rPr>
            </w:pPr>
          </w:p>
          <w:p w14:paraId="57C04AEC">
            <w:pPr>
              <w:spacing w:line="360" w:lineRule="auto"/>
              <w:rPr>
                <w:rFonts w:cs="Times New Roman"/>
                <w:szCs w:val="21"/>
                <w:highlight w:val="none"/>
              </w:rPr>
            </w:pPr>
          </w:p>
          <w:p w14:paraId="4B73C7AE">
            <w:pPr>
              <w:spacing w:line="360" w:lineRule="auto"/>
              <w:rPr>
                <w:rFonts w:cs="Times New Roman"/>
                <w:szCs w:val="21"/>
                <w:highlight w:val="none"/>
              </w:rPr>
            </w:pPr>
            <w:r>
              <w:rPr>
                <w:rFonts w:hint="eastAsia" w:cs="Times New Roman"/>
                <w:szCs w:val="21"/>
                <w:highlight w:val="none"/>
              </w:rPr>
              <w:t>单位名称（章）：</w:t>
            </w:r>
          </w:p>
          <w:p w14:paraId="1765D8B7">
            <w:pPr>
              <w:spacing w:line="360" w:lineRule="auto"/>
              <w:rPr>
                <w:rFonts w:cs="Times New Roman"/>
                <w:szCs w:val="21"/>
                <w:highlight w:val="none"/>
              </w:rPr>
            </w:pPr>
          </w:p>
          <w:p w14:paraId="2864CF50">
            <w:pPr>
              <w:spacing w:line="360" w:lineRule="auto"/>
              <w:ind w:firstLine="840" w:firstLineChars="400"/>
              <w:rPr>
                <w:rFonts w:cs="Times New Roman"/>
                <w:szCs w:val="21"/>
                <w:highlight w:val="none"/>
              </w:rPr>
            </w:pPr>
          </w:p>
          <w:p w14:paraId="2888425D">
            <w:pPr>
              <w:spacing w:line="360" w:lineRule="auto"/>
              <w:ind w:firstLine="840" w:firstLineChars="400"/>
              <w:rPr>
                <w:rFonts w:cs="Times New Roman"/>
                <w:szCs w:val="21"/>
                <w:highlight w:val="none"/>
              </w:rPr>
            </w:pPr>
          </w:p>
        </w:tc>
        <w:tc>
          <w:tcPr>
            <w:tcW w:w="2459" w:type="pct"/>
            <w:vAlign w:val="center"/>
          </w:tcPr>
          <w:p w14:paraId="5FF3B135">
            <w:pPr>
              <w:spacing w:line="360" w:lineRule="auto"/>
              <w:rPr>
                <w:rFonts w:cs="Times New Roman"/>
                <w:szCs w:val="21"/>
                <w:highlight w:val="none"/>
              </w:rPr>
            </w:pPr>
            <w:r>
              <w:rPr>
                <w:rFonts w:hint="eastAsia" w:cs="Times New Roman"/>
                <w:szCs w:val="21"/>
                <w:highlight w:val="none"/>
              </w:rPr>
              <w:t>法定代表人或授权人：</w:t>
            </w:r>
          </w:p>
          <w:p w14:paraId="2AC1EBC5">
            <w:pPr>
              <w:spacing w:line="360" w:lineRule="auto"/>
              <w:rPr>
                <w:rFonts w:cs="Times New Roman"/>
                <w:szCs w:val="21"/>
                <w:highlight w:val="none"/>
              </w:rPr>
            </w:pPr>
          </w:p>
          <w:p w14:paraId="39E4A1D2">
            <w:pPr>
              <w:spacing w:line="360" w:lineRule="auto"/>
              <w:rPr>
                <w:rFonts w:cs="Times New Roman"/>
                <w:szCs w:val="21"/>
                <w:highlight w:val="none"/>
              </w:rPr>
            </w:pPr>
          </w:p>
          <w:p w14:paraId="06C3518B">
            <w:pPr>
              <w:spacing w:line="360" w:lineRule="auto"/>
              <w:rPr>
                <w:rFonts w:cs="Times New Roman"/>
                <w:szCs w:val="21"/>
                <w:highlight w:val="none"/>
              </w:rPr>
            </w:pPr>
          </w:p>
          <w:p w14:paraId="22AAA6FC">
            <w:pPr>
              <w:spacing w:line="360" w:lineRule="auto"/>
              <w:rPr>
                <w:rFonts w:cs="Times New Roman"/>
                <w:szCs w:val="21"/>
                <w:highlight w:val="none"/>
              </w:rPr>
            </w:pPr>
            <w:r>
              <w:rPr>
                <w:rFonts w:hint="eastAsia" w:cs="Times New Roman"/>
                <w:szCs w:val="21"/>
                <w:highlight w:val="none"/>
              </w:rPr>
              <w:t>单位名称（章）：</w:t>
            </w:r>
          </w:p>
          <w:p w14:paraId="4D7F9F7B">
            <w:pPr>
              <w:spacing w:line="360" w:lineRule="auto"/>
              <w:rPr>
                <w:rFonts w:cs="Times New Roman"/>
                <w:szCs w:val="21"/>
                <w:highlight w:val="none"/>
              </w:rPr>
            </w:pPr>
          </w:p>
          <w:p w14:paraId="050C1FB2">
            <w:pPr>
              <w:spacing w:line="360" w:lineRule="auto"/>
              <w:ind w:firstLine="840" w:firstLineChars="400"/>
              <w:rPr>
                <w:rFonts w:cs="Times New Roman"/>
                <w:szCs w:val="21"/>
                <w:highlight w:val="none"/>
              </w:rPr>
            </w:pPr>
          </w:p>
          <w:p w14:paraId="0BB2DE64">
            <w:pPr>
              <w:spacing w:line="360" w:lineRule="auto"/>
              <w:ind w:firstLine="840" w:firstLineChars="400"/>
              <w:rPr>
                <w:rFonts w:cs="Times New Roman"/>
                <w:szCs w:val="21"/>
                <w:highlight w:val="none"/>
              </w:rPr>
            </w:pPr>
          </w:p>
        </w:tc>
      </w:tr>
    </w:tbl>
    <w:p w14:paraId="68690235">
      <w:pPr>
        <w:spacing w:line="360" w:lineRule="auto"/>
        <w:ind w:firstLine="420" w:firstLineChars="200"/>
        <w:rPr>
          <w:rFonts w:cs="Times New Roman"/>
          <w:szCs w:val="21"/>
          <w:highlight w:val="none"/>
        </w:rPr>
      </w:pPr>
      <w:r>
        <w:rPr>
          <w:rFonts w:hint="eastAsia" w:cs="Times New Roman"/>
          <w:szCs w:val="21"/>
          <w:highlight w:val="none"/>
        </w:rPr>
        <w:t>有效期限：按谈判文件要求</w:t>
      </w:r>
    </w:p>
    <w:p w14:paraId="7FFA7A9B">
      <w:pPr>
        <w:widowControl/>
        <w:shd w:val="clear" w:color="auto" w:fill="FFFFFF"/>
        <w:ind w:firstLine="464" w:firstLineChars="220"/>
        <w:contextualSpacing/>
        <w:rPr>
          <w:rFonts w:cs="仿宋_GB2312"/>
          <w:b/>
          <w:bCs/>
          <w:kern w:val="0"/>
          <w:szCs w:val="21"/>
          <w:highlight w:val="none"/>
        </w:rPr>
      </w:pPr>
    </w:p>
    <w:p w14:paraId="2ACD72A8">
      <w:pPr>
        <w:rPr>
          <w:rFonts w:hint="eastAsia" w:ascii="宋体" w:hAnsi="宋体" w:eastAsia="宋体" w:cs="宋体"/>
          <w:color w:val="auto"/>
          <w:sz w:val="32"/>
          <w:szCs w:val="32"/>
          <w:highlight w:val="none"/>
        </w:rPr>
      </w:pPr>
    </w:p>
    <w:p w14:paraId="34F0750A">
      <w:pPr>
        <w:rPr>
          <w:rFonts w:hint="eastAsia"/>
          <w:highlight w:val="none"/>
        </w:rPr>
      </w:pPr>
    </w:p>
    <w:p w14:paraId="32E4D5F0">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5429C10">
      <w:pPr>
        <w:pStyle w:val="70"/>
        <w:spacing w:before="159" w:after="159"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第六部分 响应文件组成</w:t>
      </w:r>
    </w:p>
    <w:p w14:paraId="5F44C69E">
      <w:pPr>
        <w:widowControl/>
        <w:shd w:val="clear" w:color="auto" w:fill="FFFFFF"/>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响应文件由资格审查证明材料、价格文件</w:t>
      </w:r>
      <w:r>
        <w:rPr>
          <w:rFonts w:hint="eastAsia" w:ascii="宋体" w:hAnsi="宋体" w:cs="宋体"/>
          <w:b/>
          <w:color w:val="auto"/>
          <w:sz w:val="24"/>
          <w:szCs w:val="24"/>
          <w:highlight w:val="none"/>
          <w:lang w:val="en-US" w:eastAsia="zh-CN"/>
        </w:rPr>
        <w:t>两</w:t>
      </w:r>
      <w:r>
        <w:rPr>
          <w:rFonts w:hint="eastAsia" w:ascii="宋体" w:hAnsi="宋体" w:eastAsia="宋体" w:cs="宋体"/>
          <w:b/>
          <w:color w:val="auto"/>
          <w:sz w:val="24"/>
          <w:szCs w:val="24"/>
          <w:highlight w:val="none"/>
        </w:rPr>
        <w:t>部分组成。</w:t>
      </w:r>
    </w:p>
    <w:p w14:paraId="5797E81A">
      <w:pPr>
        <w:widowControl/>
        <w:shd w:val="clear" w:color="auto" w:fill="FFFFFF"/>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一、资格审查证明材料</w:t>
      </w:r>
    </w:p>
    <w:p w14:paraId="08540FAB">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1、供应商符合《政府采购法》第二十二条规定条件的承诺函；（格式见附件1）</w:t>
      </w:r>
    </w:p>
    <w:p w14:paraId="3B9CB9E5">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2、法定代表人身份证明书；（格式见附件2）</w:t>
      </w:r>
    </w:p>
    <w:p w14:paraId="06AF6AC4">
      <w:pPr>
        <w:widowControl/>
        <w:shd w:val="clear" w:color="auto" w:fill="FFFFFF"/>
        <w:spacing w:line="360" w:lineRule="auto"/>
        <w:ind w:firstLine="480"/>
        <w:jc w:val="left"/>
        <w:rPr>
          <w:rFonts w:hint="eastAsia"/>
          <w:color w:val="auto"/>
          <w:highlight w:val="none"/>
        </w:rPr>
      </w:pPr>
      <w:r>
        <w:rPr>
          <w:rFonts w:hint="eastAsia" w:ascii="宋体" w:hAnsi="宋体" w:eastAsia="宋体" w:cs="宋体"/>
          <w:bCs/>
          <w:color w:val="auto"/>
          <w:sz w:val="24"/>
          <w:szCs w:val="24"/>
          <w:highlight w:val="none"/>
        </w:rPr>
        <w:t>3、法定代表人授权委托书原件，</w:t>
      </w:r>
      <w:r>
        <w:rPr>
          <w:rFonts w:hint="eastAsia" w:ascii="宋体" w:hAnsi="宋体" w:cs="宋体"/>
          <w:bCs/>
          <w:color w:val="auto"/>
          <w:sz w:val="24"/>
          <w:szCs w:val="24"/>
          <w:highlight w:val="none"/>
          <w:lang w:eastAsia="zh-CN"/>
        </w:rPr>
        <w:t>谈判</w:t>
      </w:r>
      <w:r>
        <w:rPr>
          <w:rFonts w:hint="eastAsia" w:ascii="宋体" w:hAnsi="宋体" w:eastAsia="宋体" w:cs="宋体"/>
          <w:bCs/>
          <w:color w:val="auto"/>
          <w:sz w:val="24"/>
          <w:szCs w:val="24"/>
          <w:highlight w:val="none"/>
        </w:rPr>
        <w:t>代表本人身份证复印件</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如有授权</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；（格式见附件3）</w:t>
      </w:r>
    </w:p>
    <w:p w14:paraId="60D12B23">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4、供应商营业执照复印件；</w:t>
      </w:r>
    </w:p>
    <w:p w14:paraId="697B9524">
      <w:pPr>
        <w:spacing w:line="480" w:lineRule="exact"/>
        <w:ind w:firstLine="480"/>
        <w:rPr>
          <w:rFonts w:hint="eastAsia" w:eastAsia="宋体" w:cs="Times New Roman"/>
          <w:b w:val="0"/>
          <w:bCs w:val="0"/>
          <w:color w:val="auto"/>
          <w:sz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特定资格要求的证明文件</w:t>
      </w:r>
      <w:r>
        <w:rPr>
          <w:rFonts w:hint="eastAsia" w:ascii="宋体" w:hAnsi="宋体" w:eastAsia="宋体" w:cs="宋体"/>
          <w:b/>
          <w:bCs/>
          <w:color w:val="auto"/>
          <w:sz w:val="24"/>
          <w:szCs w:val="24"/>
          <w:highlight w:val="none"/>
          <w:lang w:eastAsia="zh-CN"/>
        </w:rPr>
        <w:t>：</w:t>
      </w:r>
      <w:r>
        <w:rPr>
          <w:rFonts w:hint="eastAsia" w:eastAsia="宋体" w:cs="Times New Roman"/>
          <w:b w:val="0"/>
          <w:bCs w:val="0"/>
          <w:color w:val="auto"/>
          <w:sz w:val="24"/>
          <w:highlight w:val="none"/>
        </w:rPr>
        <w:t>投标人须为专业的PE管生产厂家。</w:t>
      </w:r>
      <w:r>
        <w:rPr>
          <w:rFonts w:hint="eastAsia" w:cs="Times New Roman"/>
          <w:b w:val="0"/>
          <w:bCs w:val="0"/>
          <w:color w:val="auto"/>
          <w:sz w:val="24"/>
          <w:highlight w:val="none"/>
          <w:lang w:eastAsia="zh-CN"/>
        </w:rPr>
        <w:t>（</w:t>
      </w:r>
      <w:r>
        <w:rPr>
          <w:rFonts w:hint="eastAsia" w:cs="Times New Roman"/>
          <w:b w:val="0"/>
          <w:bCs w:val="0"/>
          <w:color w:val="auto"/>
          <w:sz w:val="24"/>
          <w:highlight w:val="none"/>
          <w:lang w:val="en-US" w:eastAsia="zh-CN"/>
        </w:rPr>
        <w:t>提供证明材料</w:t>
      </w:r>
      <w:r>
        <w:rPr>
          <w:rFonts w:hint="eastAsia" w:cs="Times New Roman"/>
          <w:b w:val="0"/>
          <w:bCs w:val="0"/>
          <w:color w:val="auto"/>
          <w:sz w:val="24"/>
          <w:highlight w:val="none"/>
          <w:lang w:eastAsia="zh-CN"/>
        </w:rPr>
        <w:t>）</w:t>
      </w:r>
    </w:p>
    <w:p w14:paraId="632D8FFB">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、供应商未被“信用中国”网站（www.creditchina.gov.cn）列入失信被执行人、重大税收违法案件当事人名单、政府采购严重失信行为记录名单（提供网页查询截图）；</w:t>
      </w:r>
    </w:p>
    <w:p w14:paraId="511DA859">
      <w:pPr>
        <w:widowControl/>
        <w:shd w:val="clear" w:color="auto" w:fill="FFFFFF"/>
        <w:spacing w:line="360" w:lineRule="auto"/>
        <w:ind w:firstLine="480"/>
        <w:jc w:val="lef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w:t>
      </w:r>
      <w:bookmarkStart w:id="104" w:name="_GoBack"/>
      <w:r>
        <w:rPr>
          <w:rFonts w:hint="eastAsia"/>
          <w:b/>
          <w:bCs/>
          <w:color w:val="auto"/>
          <w:sz w:val="24"/>
          <w:highlight w:val="none"/>
        </w:rPr>
        <w:t>本项目专门面向中小企业采购</w:t>
      </w:r>
      <w:r>
        <w:rPr>
          <w:rFonts w:hint="eastAsia"/>
          <w:b/>
          <w:bCs/>
          <w:color w:val="auto"/>
          <w:sz w:val="24"/>
          <w:highlight w:val="none"/>
          <w:lang w:eastAsia="zh-CN"/>
        </w:rPr>
        <w:t>，</w:t>
      </w:r>
      <w:r>
        <w:rPr>
          <w:rFonts w:hint="eastAsia"/>
          <w:b/>
          <w:bCs/>
          <w:color w:val="auto"/>
          <w:sz w:val="24"/>
          <w:highlight w:val="none"/>
          <w:lang w:val="en-US" w:eastAsia="zh-CN"/>
        </w:rPr>
        <w:t>提供</w:t>
      </w:r>
      <w:r>
        <w:rPr>
          <w:rFonts w:hint="eastAsia" w:ascii="宋体" w:hAnsi="宋体" w:cs="宋体"/>
          <w:bCs/>
          <w:color w:val="auto"/>
          <w:sz w:val="24"/>
          <w:szCs w:val="24"/>
          <w:highlight w:val="none"/>
          <w:lang w:val="en-US" w:eastAsia="zh-CN"/>
        </w:rPr>
        <w:t>中小企业声明函、残疾人福利性单位声明函或监狱和戒毒企业证明材料（格式见附件4）；</w:t>
      </w:r>
      <w:bookmarkEnd w:id="104"/>
    </w:p>
    <w:p w14:paraId="669F83DF">
      <w:pPr>
        <w:widowControl/>
        <w:shd w:val="clear" w:color="auto" w:fill="FFFFFF"/>
        <w:spacing w:line="360" w:lineRule="auto"/>
        <w:ind w:firstLine="480"/>
        <w:jc w:val="lef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8、投标及履约承诺书（格式见附件5）；</w:t>
      </w:r>
    </w:p>
    <w:p w14:paraId="10A74353">
      <w:pPr>
        <w:widowControl/>
        <w:shd w:val="clear" w:color="auto" w:fill="FFFFFF"/>
        <w:spacing w:line="360" w:lineRule="auto"/>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val="en-US" w:eastAsia="zh-CN"/>
        </w:rPr>
        <w:t>符合性审查要求</w:t>
      </w:r>
    </w:p>
    <w:p w14:paraId="0B11FD6B">
      <w:pPr>
        <w:widowControl/>
        <w:shd w:val="clear" w:color="auto" w:fill="FFFFFF"/>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投标人必须对采购需求中加斜体下划线的实质性要求逐条做出响应，并按照招标文件要求提供证明材料，否则做无效投标处理。（格式见附件</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zh-CN"/>
        </w:rPr>
        <w:t>）</w:t>
      </w:r>
    </w:p>
    <w:p w14:paraId="41F76E06">
      <w:pPr>
        <w:widowControl/>
        <w:shd w:val="clear" w:color="auto" w:fill="FFFFFF"/>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三、价格文件</w:t>
      </w:r>
    </w:p>
    <w:p w14:paraId="3BCEB2A5">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1、报价总表；（格式见附件</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w:t>
      </w:r>
    </w:p>
    <w:p w14:paraId="510C19F4">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2、分项报价明细表；（格式见附件8）</w:t>
      </w:r>
    </w:p>
    <w:p w14:paraId="63942C01">
      <w:pPr>
        <w:widowControl/>
        <w:shd w:val="clear" w:color="auto" w:fill="FFFFFF"/>
        <w:spacing w:line="360" w:lineRule="auto"/>
        <w:ind w:firstLine="480"/>
        <w:jc w:val="left"/>
        <w:rPr>
          <w:rFonts w:hint="eastAsia" w:ascii="宋体" w:hAnsi="宋体" w:eastAsia="宋体" w:cs="宋体"/>
          <w:color w:val="auto"/>
          <w:sz w:val="28"/>
          <w:szCs w:val="28"/>
          <w:highlight w:val="none"/>
          <w:lang w:val="zh-CN"/>
        </w:rPr>
      </w:pPr>
    </w:p>
    <w:p w14:paraId="078DBA92">
      <w:pPr>
        <w:pStyle w:val="287"/>
        <w:spacing w:line="360" w:lineRule="auto"/>
        <w:ind w:firstLine="480"/>
        <w:contextualSpacing/>
        <w:rPr>
          <w:color w:val="auto"/>
          <w:highlight w:val="none"/>
        </w:rPr>
      </w:pPr>
      <w:r>
        <w:rPr>
          <w:rFonts w:hint="eastAsia" w:ascii="宋体" w:hAnsi="宋体" w:eastAsia="宋体" w:cs="宋体"/>
          <w:color w:val="auto"/>
          <w:sz w:val="24"/>
          <w:szCs w:val="24"/>
          <w:highlight w:val="none"/>
          <w:lang w:val="zh-CN"/>
        </w:rPr>
        <w:br w:type="page" w:clear="all"/>
      </w:r>
      <w:r>
        <w:rPr>
          <w:rFonts w:hint="eastAsia" w:ascii="Times New Roman" w:hAnsi="Times New Roman" w:cs="Times New Roman"/>
          <w:b/>
          <w:bCs/>
          <w:color w:val="auto"/>
          <w:highlight w:val="none"/>
        </w:rPr>
        <w:t>（一）资格审查证明材料</w:t>
      </w:r>
    </w:p>
    <w:p w14:paraId="5988584C">
      <w:pPr>
        <w:spacing w:line="360" w:lineRule="auto"/>
        <w:rPr>
          <w:rFonts w:ascii="宋体" w:hAnsi="宋体"/>
          <w:b/>
          <w:bCs/>
          <w:color w:val="auto"/>
          <w:sz w:val="44"/>
          <w:szCs w:val="44"/>
          <w:highlight w:val="none"/>
        </w:rPr>
      </w:pPr>
      <w:r>
        <w:rPr>
          <w:rFonts w:ascii="宋体" w:hAnsi="宋体" w:cs="宋体"/>
          <w:b/>
          <w:color w:val="auto"/>
          <w:sz w:val="30"/>
          <w:szCs w:val="30"/>
          <w:highlight w:val="none"/>
        </w:rPr>
        <w:t>附件1</w:t>
      </w:r>
    </w:p>
    <w:p w14:paraId="74E37791">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供应商符合《政府采购法》第二十二条规定条件的声明函</w:t>
      </w:r>
    </w:p>
    <w:p w14:paraId="779EAE6C">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39E74467">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我单位参加</w:t>
      </w:r>
      <w:r>
        <w:rPr>
          <w:rFonts w:hint="eastAsia" w:ascii="宋体" w:hAnsi="宋体" w:eastAsia="宋体" w:cs="宋体"/>
          <w:bCs/>
          <w:color w:val="auto"/>
          <w:sz w:val="24"/>
          <w:szCs w:val="24"/>
          <w:highlight w:val="none"/>
          <w:u w:val="single"/>
        </w:rPr>
        <w:t>________________ _</w:t>
      </w:r>
      <w:r>
        <w:rPr>
          <w:rFonts w:hint="eastAsia" w:ascii="宋体" w:hAnsi="宋体" w:eastAsia="宋体" w:cs="宋体"/>
          <w:bCs/>
          <w:color w:val="auto"/>
          <w:sz w:val="24"/>
          <w:szCs w:val="24"/>
          <w:highlight w:val="none"/>
        </w:rPr>
        <w:t>（项目名称），</w:t>
      </w:r>
      <w:r>
        <w:rPr>
          <w:rFonts w:hint="eastAsia" w:ascii="宋体" w:hAnsi="宋体" w:eastAsia="宋体" w:cs="宋体"/>
          <w:bCs/>
          <w:color w:val="auto"/>
          <w:sz w:val="24"/>
          <w:szCs w:val="24"/>
          <w:highlight w:val="none"/>
          <w:u w:val="single"/>
        </w:rPr>
        <w:t>_______ __________</w:t>
      </w:r>
      <w:r>
        <w:rPr>
          <w:rFonts w:hint="eastAsia" w:ascii="宋体" w:hAnsi="宋体" w:eastAsia="宋体" w:cs="宋体"/>
          <w:bCs/>
          <w:color w:val="auto"/>
          <w:sz w:val="24"/>
          <w:szCs w:val="24"/>
          <w:highlight w:val="none"/>
        </w:rPr>
        <w:t>（项目编号）投标活动。针对《中华人民共和国政府采购法》第二十二条规定做出如下声明：</w:t>
      </w:r>
    </w:p>
    <w:p w14:paraId="0F58B97F">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1、我单位具有独立承担民事责任的能力；</w:t>
      </w:r>
    </w:p>
    <w:p w14:paraId="29E652B6">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2、我单位具有良好的商业信誉和健全的财务会计制度；</w:t>
      </w:r>
    </w:p>
    <w:p w14:paraId="25DD6EA0">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3、我单位具有履行合同所必需的设备和专业技术能力；</w:t>
      </w:r>
    </w:p>
    <w:p w14:paraId="356386DA">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4、我单位有依法缴纳税收和社会保障资金的良好记录；</w:t>
      </w:r>
    </w:p>
    <w:p w14:paraId="35DC60DB">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D9187BF">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6、我单位满足法律、行政法规规定的其他条件。</w:t>
      </w:r>
    </w:p>
    <w:p w14:paraId="52973138">
      <w:pPr>
        <w:spacing w:line="360" w:lineRule="auto"/>
        <w:rPr>
          <w:rFonts w:hint="eastAsia" w:ascii="宋体" w:hAnsi="宋体" w:eastAsia="宋体" w:cs="宋体"/>
          <w:bCs/>
          <w:color w:val="auto"/>
          <w:sz w:val="24"/>
          <w:szCs w:val="24"/>
          <w:highlight w:val="none"/>
        </w:rPr>
      </w:pPr>
    </w:p>
    <w:p w14:paraId="7BC44028">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承诺人名称（公章）：</w:t>
      </w:r>
    </w:p>
    <w:p w14:paraId="7BA323B5">
      <w:pPr>
        <w:spacing w:line="360" w:lineRule="auto"/>
        <w:ind w:right="1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r>
        <w:rPr>
          <w:rFonts w:hint="eastAsia" w:ascii="宋体" w:hAnsi="宋体" w:eastAsia="宋体" w:cs="宋体"/>
          <w:bCs/>
          <w:color w:val="auto"/>
          <w:sz w:val="24"/>
          <w:szCs w:val="24"/>
          <w:highlight w:val="none"/>
          <w:u w:val="single"/>
        </w:rPr>
        <w:t>______</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09609CAB">
      <w:pPr>
        <w:widowControl/>
        <w:spacing w:line="360" w:lineRule="auto"/>
        <w:jc w:val="left"/>
        <w:rPr>
          <w:rFonts w:ascii="宋体" w:hAnsi="宋体"/>
          <w:color w:val="auto"/>
          <w:sz w:val="32"/>
          <w:szCs w:val="32"/>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附件2</w:t>
      </w:r>
    </w:p>
    <w:p w14:paraId="7C2D3E28">
      <w:pPr>
        <w:spacing w:line="360" w:lineRule="auto"/>
        <w:jc w:val="center"/>
        <w:rPr>
          <w:rFonts w:ascii="宋体" w:hAnsi="宋体"/>
          <w:b/>
          <w:bCs/>
          <w:color w:val="auto"/>
          <w:sz w:val="32"/>
          <w:szCs w:val="32"/>
          <w:highlight w:val="none"/>
        </w:rPr>
      </w:pPr>
    </w:p>
    <w:p w14:paraId="79B508C8">
      <w:pPr>
        <w:spacing w:line="360" w:lineRule="auto"/>
        <w:jc w:val="center"/>
        <w:rPr>
          <w:rFonts w:ascii="宋体" w:hAnsi="宋体" w:cs="仿宋_GB2312"/>
          <w:b/>
          <w:bCs/>
          <w:color w:val="auto"/>
          <w:sz w:val="32"/>
          <w:szCs w:val="32"/>
          <w:highlight w:val="none"/>
        </w:rPr>
      </w:pPr>
      <w:r>
        <w:rPr>
          <w:rFonts w:hint="eastAsia" w:ascii="宋体" w:hAnsi="宋体" w:cs="仿宋_GB2312"/>
          <w:b/>
          <w:bCs/>
          <w:color w:val="auto"/>
          <w:sz w:val="32"/>
          <w:szCs w:val="32"/>
          <w:highlight w:val="none"/>
        </w:rPr>
        <w:t>法定代表人身份证明</w:t>
      </w:r>
    </w:p>
    <w:p w14:paraId="3730D8B2">
      <w:pPr>
        <w:spacing w:line="360" w:lineRule="auto"/>
        <w:rPr>
          <w:rFonts w:ascii="宋体" w:hAnsi="宋体" w:cs="仿宋_GB2312"/>
          <w:color w:val="auto"/>
          <w:sz w:val="24"/>
          <w:szCs w:val="22"/>
          <w:highlight w:val="none"/>
        </w:rPr>
      </w:pPr>
    </w:p>
    <w:p w14:paraId="5A9A2A34">
      <w:pPr>
        <w:widowControl/>
        <w:spacing w:before="380" w:after="380" w:line="360" w:lineRule="auto"/>
        <w:rPr>
          <w:rFonts w:ascii="Calibri" w:hAnsi="Calibri"/>
          <w:color w:val="auto"/>
          <w:sz w:val="24"/>
          <w:szCs w:val="22"/>
          <w:highlight w:val="none"/>
        </w:rPr>
      </w:pPr>
      <w:bookmarkStart w:id="102" w:name="_Hlk49178957"/>
      <w:r>
        <w:rPr>
          <w:rFonts w:hint="eastAsia" w:cs="宋体"/>
          <w:color w:val="auto"/>
          <w:sz w:val="24"/>
          <w:szCs w:val="22"/>
          <w:highlight w:val="none"/>
          <w:lang w:eastAsia="zh-CN"/>
        </w:rPr>
        <w:t>南通市城市照明管理处</w:t>
      </w:r>
      <w:r>
        <w:rPr>
          <w:rFonts w:hint="eastAsia" w:ascii="Calibri" w:hAnsi="Calibri" w:cs="宋体"/>
          <w:color w:val="auto"/>
          <w:sz w:val="24"/>
          <w:szCs w:val="22"/>
          <w:highlight w:val="none"/>
        </w:rPr>
        <w:t>：</w:t>
      </w:r>
      <w:bookmarkEnd w:id="102"/>
    </w:p>
    <w:p w14:paraId="7E62121C">
      <w:pPr>
        <w:widowControl/>
        <w:spacing w:line="360" w:lineRule="auto"/>
        <w:ind w:firstLine="480"/>
        <w:rPr>
          <w:rFonts w:ascii="Calibri" w:hAnsi="Calibri"/>
          <w:color w:val="auto"/>
          <w:sz w:val="24"/>
          <w:szCs w:val="22"/>
          <w:highlight w:val="none"/>
        </w:rPr>
      </w:pPr>
      <w:r>
        <w:rPr>
          <w:rFonts w:hint="eastAsia" w:ascii="Calibri" w:hAnsi="Calibri" w:cs="宋体"/>
          <w:color w:val="auto"/>
          <w:sz w:val="24"/>
          <w:szCs w:val="22"/>
          <w:highlight w:val="none"/>
        </w:rPr>
        <w:t>（先生／女士）现任我单位</w:t>
      </w:r>
      <w:r>
        <w:rPr>
          <w:rFonts w:hint="eastAsia" w:ascii="Calibri" w:hAnsi="Calibri" w:cs="宋体"/>
          <w:color w:val="auto"/>
          <w:sz w:val="24"/>
          <w:szCs w:val="22"/>
          <w:highlight w:val="none"/>
          <w:u w:val="single"/>
        </w:rPr>
        <w:t>　　　　　　　</w:t>
      </w:r>
      <w:r>
        <w:rPr>
          <w:rFonts w:hint="eastAsia" w:ascii="Calibri" w:hAnsi="Calibri" w:cs="宋体"/>
          <w:color w:val="auto"/>
          <w:sz w:val="24"/>
          <w:szCs w:val="22"/>
          <w:highlight w:val="none"/>
        </w:rPr>
        <w:t>职务，为法定代表人，特此证明。</w:t>
      </w:r>
    </w:p>
    <w:p w14:paraId="28A8F1C1">
      <w:pPr>
        <w:widowControl/>
        <w:spacing w:line="360" w:lineRule="auto"/>
        <w:ind w:firstLine="480"/>
        <w:rPr>
          <w:rFonts w:ascii="Calibri" w:hAnsi="Calibri"/>
          <w:color w:val="auto"/>
          <w:sz w:val="24"/>
          <w:szCs w:val="22"/>
          <w:highlight w:val="none"/>
          <w:u w:val="single"/>
        </w:rPr>
      </w:pPr>
      <w:r>
        <w:rPr>
          <w:rFonts w:hint="eastAsia" w:ascii="Calibri" w:hAnsi="Calibri" w:cs="宋体"/>
          <w:color w:val="auto"/>
          <w:sz w:val="24"/>
          <w:szCs w:val="22"/>
          <w:highlight w:val="none"/>
        </w:rPr>
        <w:t>身份证号码：</w:t>
      </w:r>
    </w:p>
    <w:p w14:paraId="015145A5">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供应商（盖章）</w:t>
      </w:r>
    </w:p>
    <w:p w14:paraId="51F3E646">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年 月 日</w:t>
      </w:r>
    </w:p>
    <w:p w14:paraId="519421A5">
      <w:pPr>
        <w:widowControl/>
        <w:spacing w:line="360" w:lineRule="auto"/>
        <w:ind w:firstLine="485"/>
        <w:jc w:val="left"/>
        <w:rPr>
          <w:rFonts w:ascii="Calibri" w:hAnsi="Calibri"/>
          <w:color w:val="auto"/>
          <w:sz w:val="24"/>
          <w:szCs w:val="22"/>
          <w:highlight w:val="none"/>
        </w:rPr>
      </w:pPr>
    </w:p>
    <w:p w14:paraId="5D45425E">
      <w:pPr>
        <w:widowControl/>
        <w:spacing w:line="360" w:lineRule="auto"/>
        <w:ind w:firstLine="485"/>
        <w:jc w:val="left"/>
        <w:rPr>
          <w:rFonts w:ascii="Calibri" w:hAnsi="Calibri"/>
          <w:color w:val="auto"/>
          <w:sz w:val="24"/>
          <w:szCs w:val="22"/>
          <w:highlight w:val="none"/>
        </w:rPr>
      </w:pPr>
    </w:p>
    <w:p w14:paraId="0489E778">
      <w:pPr>
        <w:widowControl/>
        <w:spacing w:line="360" w:lineRule="auto"/>
        <w:ind w:firstLine="482"/>
        <w:jc w:val="center"/>
        <w:rPr>
          <w:rFonts w:ascii="Calibri" w:hAnsi="Calibri"/>
          <w:b/>
          <w:bCs/>
          <w:color w:val="auto"/>
          <w:sz w:val="24"/>
          <w:szCs w:val="22"/>
          <w:highlight w:val="none"/>
        </w:rPr>
      </w:pPr>
      <w:r>
        <w:rPr>
          <w:rFonts w:hint="eastAsia" w:ascii="宋体" w:hAnsi="宋体" w:cs="仿宋_GB2312"/>
          <w:b/>
          <w:color w:val="auto"/>
          <w:sz w:val="24"/>
          <w:szCs w:val="22"/>
          <w:highlight w:val="none"/>
        </w:rPr>
        <w:t>注：提供</w:t>
      </w:r>
      <w:r>
        <w:rPr>
          <w:rFonts w:hint="eastAsia" w:ascii="Calibri" w:hAnsi="Calibri" w:cs="宋体"/>
          <w:b/>
          <w:bCs/>
          <w:color w:val="auto"/>
          <w:sz w:val="24"/>
          <w:szCs w:val="22"/>
          <w:highlight w:val="none"/>
        </w:rPr>
        <w:t>法定代表人的身份证扫描件（正、反面）</w:t>
      </w:r>
    </w:p>
    <w:p w14:paraId="0CC79B3C">
      <w:pPr>
        <w:widowControl/>
        <w:spacing w:line="360" w:lineRule="auto"/>
        <w:ind w:firstLine="482"/>
        <w:jc w:val="center"/>
        <w:rPr>
          <w:rFonts w:ascii="Calibri" w:hAnsi="Calibri"/>
          <w:b/>
          <w:bCs/>
          <w:color w:val="auto"/>
          <w:sz w:val="24"/>
          <w:szCs w:val="22"/>
          <w:highlight w:val="none"/>
        </w:rPr>
      </w:pPr>
    </w:p>
    <w:p w14:paraId="2356089F">
      <w:pPr>
        <w:spacing w:line="360" w:lineRule="auto"/>
        <w:rPr>
          <w:rFonts w:ascii="宋体" w:hAnsi="宋体" w:cs="仿宋_GB2312"/>
          <w:color w:val="auto"/>
          <w:szCs w:val="22"/>
          <w:highlight w:val="none"/>
        </w:rPr>
      </w:pPr>
    </w:p>
    <w:p w14:paraId="5F9CF8B9">
      <w:pPr>
        <w:spacing w:line="360" w:lineRule="auto"/>
        <w:ind w:firstLine="540"/>
        <w:contextualSpacing/>
        <w:rPr>
          <w:rFonts w:ascii="宋体" w:hAnsi="宋体" w:cs="仿宋_GB2312"/>
          <w:b/>
          <w:color w:val="auto"/>
          <w:sz w:val="28"/>
          <w:szCs w:val="28"/>
          <w:highlight w:val="none"/>
        </w:rPr>
      </w:pPr>
    </w:p>
    <w:p w14:paraId="4347A1B4">
      <w:pPr>
        <w:spacing w:line="360" w:lineRule="auto"/>
        <w:ind w:firstLine="540"/>
        <w:contextualSpacing/>
        <w:rPr>
          <w:rFonts w:ascii="宋体" w:hAnsi="宋体" w:cs="仿宋_GB2312"/>
          <w:b/>
          <w:color w:val="auto"/>
          <w:sz w:val="28"/>
          <w:szCs w:val="28"/>
          <w:highlight w:val="none"/>
        </w:rPr>
      </w:pPr>
    </w:p>
    <w:p w14:paraId="383B2261">
      <w:pPr>
        <w:spacing w:line="360" w:lineRule="auto"/>
        <w:ind w:firstLine="540"/>
        <w:contextualSpacing/>
        <w:rPr>
          <w:rFonts w:ascii="宋体" w:hAnsi="宋体" w:cs="仿宋_GB2312"/>
          <w:b/>
          <w:color w:val="auto"/>
          <w:sz w:val="28"/>
          <w:szCs w:val="28"/>
          <w:highlight w:val="none"/>
        </w:rPr>
      </w:pPr>
    </w:p>
    <w:p w14:paraId="61610ECD">
      <w:pPr>
        <w:spacing w:line="360" w:lineRule="auto"/>
        <w:ind w:firstLine="540"/>
        <w:contextualSpacing/>
        <w:rPr>
          <w:rFonts w:ascii="宋体" w:hAnsi="宋体" w:cs="仿宋_GB2312"/>
          <w:b/>
          <w:color w:val="auto"/>
          <w:sz w:val="28"/>
          <w:szCs w:val="28"/>
          <w:highlight w:val="none"/>
        </w:rPr>
      </w:pPr>
    </w:p>
    <w:p w14:paraId="180439D6">
      <w:pPr>
        <w:spacing w:line="360" w:lineRule="auto"/>
        <w:ind w:firstLine="540"/>
        <w:contextualSpacing/>
        <w:rPr>
          <w:rFonts w:ascii="宋体" w:hAnsi="宋体" w:cs="仿宋_GB2312"/>
          <w:b/>
          <w:color w:val="auto"/>
          <w:sz w:val="28"/>
          <w:szCs w:val="28"/>
          <w:highlight w:val="none"/>
        </w:rPr>
      </w:pPr>
    </w:p>
    <w:p w14:paraId="17167FAF">
      <w:pPr>
        <w:spacing w:line="360" w:lineRule="auto"/>
        <w:ind w:firstLine="540"/>
        <w:contextualSpacing/>
        <w:rPr>
          <w:rFonts w:ascii="宋体" w:hAnsi="宋体" w:cs="仿宋_GB2312"/>
          <w:b/>
          <w:color w:val="auto"/>
          <w:sz w:val="28"/>
          <w:szCs w:val="28"/>
          <w:highlight w:val="none"/>
        </w:rPr>
      </w:pPr>
    </w:p>
    <w:p w14:paraId="79975559">
      <w:pPr>
        <w:spacing w:line="360" w:lineRule="auto"/>
        <w:ind w:firstLine="540"/>
        <w:contextualSpacing/>
        <w:rPr>
          <w:rFonts w:ascii="宋体" w:hAnsi="宋体" w:cs="仿宋_GB2312"/>
          <w:b/>
          <w:color w:val="auto"/>
          <w:sz w:val="28"/>
          <w:szCs w:val="28"/>
          <w:highlight w:val="none"/>
        </w:rPr>
      </w:pPr>
    </w:p>
    <w:p w14:paraId="6581758E">
      <w:pPr>
        <w:spacing w:line="360" w:lineRule="auto"/>
        <w:ind w:firstLine="540"/>
        <w:contextualSpacing/>
        <w:rPr>
          <w:rFonts w:ascii="宋体" w:hAnsi="宋体" w:cs="仿宋_GB2312"/>
          <w:b/>
          <w:color w:val="auto"/>
          <w:sz w:val="28"/>
          <w:szCs w:val="28"/>
          <w:highlight w:val="none"/>
        </w:rPr>
      </w:pPr>
    </w:p>
    <w:p w14:paraId="6AE0841D">
      <w:pPr>
        <w:spacing w:line="360" w:lineRule="auto"/>
        <w:ind w:firstLine="540"/>
        <w:contextualSpacing/>
        <w:rPr>
          <w:rFonts w:ascii="宋体" w:hAnsi="宋体" w:cs="仿宋_GB2312"/>
          <w:b/>
          <w:color w:val="auto"/>
          <w:sz w:val="28"/>
          <w:szCs w:val="28"/>
          <w:highlight w:val="none"/>
        </w:rPr>
      </w:pPr>
    </w:p>
    <w:p w14:paraId="012D67FF">
      <w:pPr>
        <w:spacing w:line="360" w:lineRule="auto"/>
        <w:rPr>
          <w:rFonts w:ascii="宋体" w:hAnsi="宋体" w:cs="宋体"/>
          <w:b/>
          <w:color w:val="auto"/>
          <w:sz w:val="30"/>
          <w:szCs w:val="30"/>
          <w:highlight w:val="none"/>
        </w:rPr>
      </w:pPr>
      <w:r>
        <w:rPr>
          <w:rFonts w:ascii="宋体" w:hAnsi="宋体" w:cs="宋体"/>
          <w:b/>
          <w:color w:val="auto"/>
          <w:sz w:val="30"/>
          <w:szCs w:val="30"/>
          <w:highlight w:val="none"/>
        </w:rPr>
        <w:br w:type="page" w:clear="all"/>
      </w:r>
      <w:r>
        <w:rPr>
          <w:rFonts w:hint="eastAsia" w:ascii="宋体" w:hAnsi="宋体" w:cs="宋体"/>
          <w:b/>
          <w:color w:val="auto"/>
          <w:sz w:val="30"/>
          <w:szCs w:val="30"/>
          <w:highlight w:val="none"/>
        </w:rPr>
        <w:t>附件3</w:t>
      </w:r>
    </w:p>
    <w:p w14:paraId="0000333D">
      <w:pPr>
        <w:spacing w:line="360" w:lineRule="auto"/>
        <w:jc w:val="center"/>
        <w:rPr>
          <w:rFonts w:ascii="宋体" w:hAnsi="宋体" w:cs="仿宋_GB2312"/>
          <w:color w:val="auto"/>
          <w:sz w:val="32"/>
          <w:szCs w:val="32"/>
          <w:highlight w:val="none"/>
        </w:rPr>
      </w:pPr>
    </w:p>
    <w:p w14:paraId="2FCF2DFB">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法定代表人授权委托书</w:t>
      </w:r>
    </w:p>
    <w:p w14:paraId="4982A7BB">
      <w:pPr>
        <w:spacing w:line="360" w:lineRule="auto"/>
        <w:ind w:firstLine="480"/>
        <w:rPr>
          <w:rFonts w:ascii="宋体" w:hAnsi="宋体" w:cs="宋体"/>
          <w:color w:val="auto"/>
          <w:sz w:val="24"/>
          <w:szCs w:val="22"/>
          <w:highlight w:val="none"/>
        </w:rPr>
      </w:pPr>
    </w:p>
    <w:p w14:paraId="7BEFF0F4">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人------（姓名）系————（授权单位名称）的法定代表人，现委托-------（姓名）（身份证号——————）为我方代理人，以我方名义全权处理与本次采购项目（编号：----------）有关的一切事务，其法律后果由我方承担。</w:t>
      </w:r>
    </w:p>
    <w:p w14:paraId="79365E64">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本授权书于---年---月---日起生效。代理人无转委托权。</w:t>
      </w:r>
    </w:p>
    <w:p w14:paraId="41D7250E">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代理人(被授权人):------</w:t>
      </w:r>
    </w:p>
    <w:p w14:paraId="4A94FDFA">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授权单位名称（盖章）：-----</w:t>
      </w:r>
    </w:p>
    <w:p w14:paraId="3FA310DA">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授权单位法定代表人（签字或盖章）：-----</w:t>
      </w:r>
    </w:p>
    <w:p w14:paraId="00CE3C63">
      <w:pPr>
        <w:spacing w:line="360" w:lineRule="auto"/>
        <w:ind w:firstLine="480"/>
        <w:jc w:val="right"/>
        <w:rPr>
          <w:rFonts w:ascii="宋体" w:hAnsi="宋体" w:cs="宋体"/>
          <w:color w:val="auto"/>
          <w:sz w:val="24"/>
          <w:szCs w:val="22"/>
          <w:highlight w:val="none"/>
        </w:rPr>
      </w:pPr>
    </w:p>
    <w:p w14:paraId="2D1E83DE">
      <w:pPr>
        <w:spacing w:line="360" w:lineRule="auto"/>
        <w:ind w:firstLine="480"/>
        <w:jc w:val="right"/>
        <w:rPr>
          <w:rFonts w:ascii="宋体" w:hAnsi="宋体" w:cs="宋体"/>
          <w:color w:val="auto"/>
          <w:sz w:val="24"/>
          <w:szCs w:val="22"/>
          <w:highlight w:val="none"/>
        </w:rPr>
      </w:pPr>
      <w:r>
        <w:rPr>
          <w:rFonts w:hint="eastAsia" w:ascii="宋体" w:hAnsi="宋体" w:cs="宋体"/>
          <w:color w:val="auto"/>
          <w:sz w:val="24"/>
          <w:szCs w:val="22"/>
          <w:highlight w:val="none"/>
        </w:rPr>
        <w:t>XXXX年XX月XX日</w:t>
      </w:r>
    </w:p>
    <w:p w14:paraId="319055B8">
      <w:pPr>
        <w:spacing w:line="360" w:lineRule="auto"/>
        <w:ind w:firstLine="482"/>
        <w:contextualSpacing/>
        <w:rPr>
          <w:rFonts w:ascii="宋体" w:hAnsi="宋体" w:cs="宋体"/>
          <w:b/>
          <w:color w:val="auto"/>
          <w:sz w:val="24"/>
          <w:szCs w:val="22"/>
          <w:highlight w:val="none"/>
        </w:rPr>
      </w:pPr>
    </w:p>
    <w:p w14:paraId="71CA22D4">
      <w:pPr>
        <w:widowControl/>
        <w:spacing w:after="200" w:line="360" w:lineRule="auto"/>
        <w:ind w:firstLine="487"/>
        <w:jc w:val="center"/>
        <w:rPr>
          <w:rFonts w:ascii="宋体" w:hAnsi="宋体" w:cs="宋体"/>
          <w:b/>
          <w:color w:val="auto"/>
          <w:sz w:val="24"/>
          <w:szCs w:val="22"/>
          <w:highlight w:val="none"/>
        </w:rPr>
      </w:pPr>
    </w:p>
    <w:p w14:paraId="5FC44674">
      <w:pPr>
        <w:widowControl/>
        <w:spacing w:after="200" w:line="360" w:lineRule="auto"/>
        <w:ind w:firstLine="487"/>
        <w:jc w:val="center"/>
        <w:rPr>
          <w:rFonts w:ascii="宋体" w:hAnsi="宋体" w:cs="宋体"/>
          <w:b/>
          <w:bCs/>
          <w:color w:val="auto"/>
          <w:sz w:val="24"/>
          <w:szCs w:val="22"/>
          <w:highlight w:val="none"/>
        </w:rPr>
      </w:pPr>
      <w:r>
        <w:rPr>
          <w:rFonts w:hint="eastAsia" w:ascii="宋体" w:hAnsi="宋体" w:cs="宋体"/>
          <w:b/>
          <w:color w:val="auto"/>
          <w:sz w:val="24"/>
          <w:szCs w:val="22"/>
          <w:highlight w:val="none"/>
        </w:rPr>
        <w:t>注：提供</w:t>
      </w:r>
      <w:r>
        <w:rPr>
          <w:rFonts w:hint="eastAsia" w:ascii="宋体" w:hAnsi="宋体" w:cs="宋体"/>
          <w:b/>
          <w:bCs/>
          <w:color w:val="auto"/>
          <w:sz w:val="24"/>
          <w:szCs w:val="22"/>
          <w:highlight w:val="none"/>
        </w:rPr>
        <w:t>被委托授权人的身份证扫描件（正、反面）</w:t>
      </w:r>
    </w:p>
    <w:p w14:paraId="5C45E813">
      <w:pPr>
        <w:widowControl/>
        <w:spacing w:after="200" w:line="360" w:lineRule="auto"/>
        <w:ind w:firstLine="487"/>
        <w:jc w:val="center"/>
        <w:rPr>
          <w:rFonts w:ascii="宋体" w:hAnsi="宋体" w:cs="宋体"/>
          <w:b/>
          <w:bCs/>
          <w:color w:val="auto"/>
          <w:sz w:val="24"/>
          <w:szCs w:val="22"/>
          <w:highlight w:val="none"/>
        </w:rPr>
      </w:pPr>
    </w:p>
    <w:p w14:paraId="23DF4169">
      <w:pPr>
        <w:widowControl/>
        <w:spacing w:after="200" w:line="360" w:lineRule="auto"/>
        <w:ind w:firstLine="487"/>
        <w:jc w:val="center"/>
        <w:rPr>
          <w:rFonts w:ascii="宋体" w:hAnsi="宋体" w:cs="宋体"/>
          <w:b/>
          <w:bCs/>
          <w:color w:val="auto"/>
          <w:sz w:val="24"/>
          <w:szCs w:val="22"/>
          <w:highlight w:val="none"/>
        </w:rPr>
      </w:pPr>
    </w:p>
    <w:p w14:paraId="3AC31296">
      <w:pPr>
        <w:widowControl/>
        <w:spacing w:after="200" w:line="360" w:lineRule="auto"/>
        <w:ind w:firstLine="487"/>
        <w:jc w:val="center"/>
        <w:rPr>
          <w:rFonts w:ascii="宋体" w:hAnsi="宋体" w:cs="宋体"/>
          <w:b/>
          <w:bCs/>
          <w:color w:val="auto"/>
          <w:sz w:val="24"/>
          <w:szCs w:val="22"/>
          <w:highlight w:val="none"/>
        </w:rPr>
      </w:pPr>
    </w:p>
    <w:p w14:paraId="422FA023">
      <w:pPr>
        <w:widowControl/>
        <w:spacing w:after="200" w:line="360" w:lineRule="auto"/>
        <w:ind w:firstLine="487"/>
        <w:jc w:val="center"/>
        <w:rPr>
          <w:rFonts w:ascii="宋体" w:hAnsi="宋体" w:cs="宋体"/>
          <w:b/>
          <w:bCs/>
          <w:color w:val="auto"/>
          <w:sz w:val="24"/>
          <w:szCs w:val="22"/>
          <w:highlight w:val="none"/>
        </w:rPr>
      </w:pPr>
    </w:p>
    <w:p w14:paraId="68F41A18">
      <w:pPr>
        <w:spacing w:line="460" w:lineRule="exact"/>
        <w:rPr>
          <w:rFonts w:ascii="宋体" w:hAnsi="宋体" w:cs="宋体"/>
          <w:color w:val="auto"/>
          <w:sz w:val="24"/>
          <w:szCs w:val="22"/>
          <w:highlight w:val="none"/>
        </w:rPr>
      </w:pPr>
      <w:r>
        <w:rPr>
          <w:rFonts w:hint="eastAsia" w:ascii="宋体" w:hAnsi="宋体" w:cs="宋体"/>
          <w:color w:val="auto"/>
          <w:sz w:val="24"/>
          <w:szCs w:val="22"/>
          <w:highlight w:val="none"/>
        </w:rPr>
        <w:t>附：被授权委托人应为投标响应供应商在职人员，递交授权委托书时须提供被授权委托人在该单位自</w:t>
      </w:r>
      <w:r>
        <w:rPr>
          <w:rFonts w:hint="eastAsia" w:ascii="宋体" w:hAnsi="宋体" w:cs="宋体"/>
          <w:color w:val="auto"/>
          <w:sz w:val="24"/>
          <w:szCs w:val="22"/>
          <w:highlight w:val="none"/>
          <w:lang w:eastAsia="zh-CN"/>
        </w:rPr>
        <w:t>202</w:t>
      </w:r>
      <w:r>
        <w:rPr>
          <w:rFonts w:hint="eastAsia" w:ascii="宋体" w:hAnsi="宋体" w:cs="宋体"/>
          <w:color w:val="auto"/>
          <w:sz w:val="24"/>
          <w:szCs w:val="22"/>
          <w:highlight w:val="none"/>
          <w:lang w:val="en-US" w:eastAsia="zh-CN"/>
        </w:rPr>
        <w:t>5</w:t>
      </w:r>
      <w:r>
        <w:rPr>
          <w:rFonts w:hint="eastAsia" w:ascii="宋体" w:hAnsi="宋体" w:cs="宋体"/>
          <w:color w:val="auto"/>
          <w:sz w:val="24"/>
          <w:szCs w:val="22"/>
          <w:highlight w:val="none"/>
          <w:lang w:eastAsia="zh-CN"/>
        </w:rPr>
        <w:t>年</w:t>
      </w:r>
      <w:r>
        <w:rPr>
          <w:rFonts w:hint="eastAsia" w:ascii="宋体" w:hAnsi="宋体" w:cs="宋体"/>
          <w:color w:val="auto"/>
          <w:sz w:val="24"/>
          <w:szCs w:val="22"/>
          <w:highlight w:val="none"/>
          <w:lang w:val="en-US" w:eastAsia="zh-CN"/>
        </w:rPr>
        <w:t>08</w:t>
      </w:r>
      <w:r>
        <w:rPr>
          <w:rFonts w:hint="eastAsia" w:ascii="宋体" w:hAnsi="宋体" w:cs="宋体"/>
          <w:color w:val="auto"/>
          <w:sz w:val="24"/>
          <w:szCs w:val="22"/>
          <w:highlight w:val="none"/>
          <w:lang w:eastAsia="zh-CN"/>
        </w:rPr>
        <w:t>月-202</w:t>
      </w:r>
      <w:r>
        <w:rPr>
          <w:rFonts w:hint="eastAsia" w:ascii="宋体" w:hAnsi="宋体" w:cs="宋体"/>
          <w:color w:val="auto"/>
          <w:sz w:val="24"/>
          <w:szCs w:val="22"/>
          <w:highlight w:val="none"/>
          <w:lang w:val="en-US" w:eastAsia="zh-CN"/>
        </w:rPr>
        <w:t>5</w:t>
      </w:r>
      <w:r>
        <w:rPr>
          <w:rFonts w:hint="eastAsia" w:ascii="宋体" w:hAnsi="宋体" w:cs="宋体"/>
          <w:color w:val="auto"/>
          <w:sz w:val="24"/>
          <w:szCs w:val="22"/>
          <w:highlight w:val="none"/>
          <w:lang w:eastAsia="zh-CN"/>
        </w:rPr>
        <w:t>年</w:t>
      </w:r>
      <w:r>
        <w:rPr>
          <w:rFonts w:hint="eastAsia" w:ascii="宋体" w:hAnsi="宋体" w:cs="宋体"/>
          <w:color w:val="auto"/>
          <w:sz w:val="24"/>
          <w:szCs w:val="22"/>
          <w:highlight w:val="none"/>
          <w:lang w:val="en-US" w:eastAsia="zh-CN"/>
        </w:rPr>
        <w:t>10</w:t>
      </w:r>
      <w:r>
        <w:rPr>
          <w:rFonts w:hint="eastAsia" w:ascii="宋体" w:hAnsi="宋体" w:cs="宋体"/>
          <w:color w:val="auto"/>
          <w:sz w:val="24"/>
          <w:szCs w:val="22"/>
          <w:highlight w:val="none"/>
          <w:lang w:eastAsia="zh-CN"/>
        </w:rPr>
        <w:t>月</w:t>
      </w:r>
      <w:r>
        <w:rPr>
          <w:rFonts w:hint="eastAsia" w:ascii="宋体" w:hAnsi="宋体" w:cs="宋体"/>
          <w:color w:val="auto"/>
          <w:sz w:val="24"/>
          <w:szCs w:val="22"/>
          <w:highlight w:val="none"/>
        </w:rPr>
        <w:t>任意一个月社保证明，否则作无效处理。</w:t>
      </w:r>
    </w:p>
    <w:p w14:paraId="0C7D501A">
      <w:pPr>
        <w:spacing w:line="360" w:lineRule="auto"/>
        <w:rPr>
          <w:rFonts w:ascii="宋体"/>
          <w:color w:val="auto"/>
          <w:szCs w:val="20"/>
          <w:highlight w:val="none"/>
        </w:rPr>
      </w:pPr>
      <w:r>
        <w:rPr>
          <w:rFonts w:ascii="宋体" w:hAnsi="宋体" w:cs="仿宋_GB2312"/>
          <w:color w:val="auto"/>
          <w:sz w:val="32"/>
          <w:szCs w:val="32"/>
          <w:highlight w:val="none"/>
          <w:lang w:val="zh-CN"/>
        </w:rPr>
        <w:br w:type="page" w:clear="all"/>
      </w:r>
      <w:r>
        <w:rPr>
          <w:rFonts w:hint="eastAsia" w:ascii="宋体" w:hAnsi="宋体" w:cs="宋体"/>
          <w:b/>
          <w:color w:val="auto"/>
          <w:sz w:val="30"/>
          <w:szCs w:val="30"/>
          <w:highlight w:val="none"/>
        </w:rPr>
        <w:t xml:space="preserve">附件4 </w:t>
      </w:r>
      <w:r>
        <w:rPr>
          <w:rFonts w:hint="eastAsia" w:ascii="宋体" w:hAnsi="宋体" w:cs="仿宋_GB2312"/>
          <w:color w:val="auto"/>
          <w:sz w:val="32"/>
          <w:szCs w:val="32"/>
          <w:highlight w:val="none"/>
        </w:rPr>
        <w:t xml:space="preserve">         </w:t>
      </w:r>
    </w:p>
    <w:p w14:paraId="6129D75F">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中小企业声明函、残疾人福利性单位声明函或监狱和戒毒企业证明材料。</w:t>
      </w:r>
    </w:p>
    <w:p w14:paraId="3113F423">
      <w:pPr>
        <w:spacing w:line="480" w:lineRule="exact"/>
        <w:ind w:firstLine="281"/>
        <w:jc w:val="center"/>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lang w:eastAsia="zh-CN"/>
        </w:rPr>
        <w:t>（</w:t>
      </w:r>
      <w:r>
        <w:rPr>
          <w:rFonts w:hint="eastAsia" w:ascii="仿宋" w:hAnsi="仿宋" w:eastAsia="仿宋"/>
          <w:b/>
          <w:color w:val="000000"/>
          <w:sz w:val="28"/>
          <w:szCs w:val="28"/>
          <w:highlight w:val="none"/>
          <w:lang w:val="en-US" w:eastAsia="zh-CN"/>
        </w:rPr>
        <w:t>一</w:t>
      </w:r>
      <w:r>
        <w:rPr>
          <w:rFonts w:hint="eastAsia" w:ascii="仿宋" w:hAnsi="仿宋" w:eastAsia="仿宋"/>
          <w:b/>
          <w:color w:val="000000"/>
          <w:sz w:val="28"/>
          <w:szCs w:val="28"/>
          <w:highlight w:val="none"/>
          <w:lang w:eastAsia="zh-CN"/>
        </w:rPr>
        <w:t>）</w:t>
      </w:r>
      <w:r>
        <w:rPr>
          <w:rFonts w:hint="eastAsia" w:ascii="仿宋" w:hAnsi="仿宋" w:eastAsia="仿宋"/>
          <w:b/>
          <w:color w:val="000000"/>
          <w:sz w:val="28"/>
          <w:szCs w:val="28"/>
          <w:highlight w:val="none"/>
        </w:rPr>
        <w:t>中小微企业声明函（货物类项目）</w:t>
      </w:r>
    </w:p>
    <w:p w14:paraId="6AF5CEF7">
      <w:pPr>
        <w:spacing w:line="480" w:lineRule="exact"/>
        <w:ind w:firstLine="42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本公司（联合体）郑重声明，根据《政府采购促进中小企业发展管理办法》(财库[2020]46号)的规定，本公司（联合体）参加</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u w:val="single"/>
        </w:rPr>
        <w:t>（单位名称）</w:t>
      </w:r>
      <w:r>
        <w:rPr>
          <w:rFonts w:hint="eastAsia" w:ascii="仿宋" w:hAnsi="仿宋" w:eastAsia="仿宋"/>
          <w:color w:val="000000"/>
          <w:sz w:val="28"/>
          <w:szCs w:val="28"/>
          <w:highlight w:val="none"/>
        </w:rPr>
        <w:t>组织的采购编号为</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w:t>
      </w:r>
      <w:r>
        <w:rPr>
          <w:rFonts w:hint="eastAsia" w:ascii="仿宋" w:hAnsi="仿宋" w:eastAsia="仿宋"/>
          <w:color w:val="000000"/>
          <w:sz w:val="28"/>
          <w:szCs w:val="28"/>
          <w:highlight w:val="none"/>
          <w:u w:val="single"/>
        </w:rPr>
        <w:t>（项目名称）</w:t>
      </w:r>
      <w:r>
        <w:rPr>
          <w:rFonts w:hint="eastAsia" w:ascii="仿宋" w:hAnsi="仿宋" w:eastAsia="仿宋"/>
          <w:color w:val="000000"/>
          <w:sz w:val="28"/>
          <w:szCs w:val="28"/>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6B0B8D27">
      <w:pPr>
        <w:spacing w:line="480" w:lineRule="exact"/>
        <w:ind w:firstLine="420"/>
        <w:rPr>
          <w:rFonts w:hint="eastAsia" w:ascii="仿宋" w:hAnsi="仿宋" w:eastAsia="仿宋"/>
          <w:i/>
          <w:color w:val="000000"/>
          <w:sz w:val="28"/>
          <w:szCs w:val="28"/>
          <w:highlight w:val="none"/>
          <w:u w:val="singl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u w:val="single"/>
        </w:rPr>
        <w:t>（标的名称）</w:t>
      </w:r>
      <w:r>
        <w:rPr>
          <w:rFonts w:hint="eastAsia" w:ascii="仿宋" w:hAnsi="仿宋" w:eastAsia="仿宋"/>
          <w:i/>
          <w:color w:val="000000"/>
          <w:sz w:val="28"/>
          <w:szCs w:val="28"/>
          <w:highlight w:val="none"/>
        </w:rPr>
        <w:t>，</w:t>
      </w:r>
      <w:r>
        <w:rPr>
          <w:rFonts w:hint="eastAsia" w:ascii="仿宋" w:hAnsi="仿宋" w:eastAsia="仿宋"/>
          <w:color w:val="000000"/>
          <w:sz w:val="28"/>
          <w:szCs w:val="28"/>
          <w:highlight w:val="none"/>
        </w:rPr>
        <w:t>属于</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行业；制造商为</w:t>
      </w:r>
      <w:r>
        <w:rPr>
          <w:rFonts w:hint="eastAsia" w:ascii="仿宋" w:hAnsi="仿宋" w:eastAsia="仿宋"/>
          <w:color w:val="000000"/>
          <w:sz w:val="28"/>
          <w:szCs w:val="28"/>
          <w:highlight w:val="none"/>
          <w:u w:val="single"/>
        </w:rPr>
        <w:t>（企业名称）</w:t>
      </w:r>
      <w:r>
        <w:rPr>
          <w:rFonts w:hint="eastAsia" w:ascii="仿宋" w:hAnsi="仿宋" w:eastAsia="仿宋"/>
          <w:color w:val="000000"/>
          <w:sz w:val="28"/>
          <w:szCs w:val="28"/>
          <w:highlight w:val="none"/>
        </w:rPr>
        <w:t>，从业人员</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人，营业收入为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万元，资产总额为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万元，属于</w:t>
      </w:r>
      <w:r>
        <w:rPr>
          <w:rFonts w:hint="eastAsia" w:ascii="仿宋" w:hAnsi="仿宋" w:eastAsia="仿宋"/>
          <w:color w:val="000000"/>
          <w:sz w:val="28"/>
          <w:szCs w:val="28"/>
          <w:highlight w:val="none"/>
          <w:u w:val="single"/>
        </w:rPr>
        <w:t>（□中型企业 □小型企业 □微型企业）；</w:t>
      </w:r>
    </w:p>
    <w:p w14:paraId="4606CCCB">
      <w:pPr>
        <w:spacing w:line="480" w:lineRule="exact"/>
        <w:ind w:firstLine="420"/>
        <w:rPr>
          <w:rFonts w:hint="eastAsia" w:ascii="仿宋" w:hAnsi="仿宋" w:eastAsia="仿宋"/>
          <w:i/>
          <w:color w:val="000000"/>
          <w:sz w:val="28"/>
          <w:szCs w:val="28"/>
          <w:highlight w:val="none"/>
          <w:u w:val="single"/>
        </w:rPr>
      </w:pPr>
      <w:r>
        <w:rPr>
          <w:rFonts w:hint="eastAsia" w:ascii="仿宋" w:hAnsi="仿宋" w:eastAsia="仿宋"/>
          <w:color w:val="000000"/>
          <w:sz w:val="28"/>
          <w:szCs w:val="28"/>
          <w:highlight w:val="none"/>
        </w:rPr>
        <w:t>2.</w:t>
      </w:r>
      <w:r>
        <w:rPr>
          <w:rFonts w:hint="eastAsia" w:ascii="仿宋" w:hAnsi="仿宋" w:eastAsia="仿宋"/>
          <w:color w:val="000000"/>
          <w:sz w:val="28"/>
          <w:szCs w:val="28"/>
          <w:highlight w:val="none"/>
          <w:u w:val="single"/>
        </w:rPr>
        <w:t>（标的名称）</w:t>
      </w:r>
      <w:r>
        <w:rPr>
          <w:rFonts w:hint="eastAsia" w:ascii="仿宋" w:hAnsi="仿宋" w:eastAsia="仿宋"/>
          <w:i/>
          <w:color w:val="000000"/>
          <w:sz w:val="28"/>
          <w:szCs w:val="28"/>
          <w:highlight w:val="none"/>
        </w:rPr>
        <w:t>，</w:t>
      </w:r>
      <w:r>
        <w:rPr>
          <w:rFonts w:hint="eastAsia" w:ascii="仿宋" w:hAnsi="仿宋" w:eastAsia="仿宋"/>
          <w:color w:val="000000"/>
          <w:sz w:val="28"/>
          <w:szCs w:val="28"/>
          <w:highlight w:val="none"/>
        </w:rPr>
        <w:t>属于</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行业；制造商为</w:t>
      </w:r>
      <w:r>
        <w:rPr>
          <w:rFonts w:hint="eastAsia" w:ascii="仿宋" w:hAnsi="仿宋" w:eastAsia="仿宋"/>
          <w:color w:val="000000"/>
          <w:sz w:val="28"/>
          <w:szCs w:val="28"/>
          <w:highlight w:val="none"/>
          <w:u w:val="single"/>
        </w:rPr>
        <w:t>（企业名称）</w:t>
      </w:r>
      <w:r>
        <w:rPr>
          <w:rFonts w:hint="eastAsia" w:ascii="仿宋" w:hAnsi="仿宋" w:eastAsia="仿宋"/>
          <w:color w:val="000000"/>
          <w:sz w:val="28"/>
          <w:szCs w:val="28"/>
          <w:highlight w:val="none"/>
        </w:rPr>
        <w:t>，从业人员</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人，营业收入为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万元，资产总额为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万元，属于</w:t>
      </w:r>
      <w:r>
        <w:rPr>
          <w:rFonts w:hint="eastAsia" w:ascii="仿宋" w:hAnsi="仿宋" w:eastAsia="仿宋"/>
          <w:color w:val="000000"/>
          <w:sz w:val="28"/>
          <w:szCs w:val="28"/>
          <w:highlight w:val="none"/>
          <w:u w:val="single"/>
        </w:rPr>
        <w:t>（□中型企业 □小型企业 □微型企业）；</w:t>
      </w:r>
    </w:p>
    <w:p w14:paraId="78FD9334">
      <w:pPr>
        <w:spacing w:line="480" w:lineRule="exact"/>
        <w:ind w:firstLine="42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w:t>
      </w:r>
    </w:p>
    <w:p w14:paraId="74E0D25C">
      <w:pPr>
        <w:spacing w:line="480" w:lineRule="exact"/>
        <w:ind w:firstLine="42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以上企业，不属于大企业的分支机构，不存在控股股东为大企业的情形，也不存在与大企业的负责人为同一人的情形。</w:t>
      </w:r>
    </w:p>
    <w:p w14:paraId="5161CF97">
      <w:pPr>
        <w:spacing w:line="480" w:lineRule="exact"/>
        <w:ind w:firstLine="42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本企业对上述声明内容的真实性负责。如有虚假，将依法承担相应责任</w:t>
      </w:r>
    </w:p>
    <w:p w14:paraId="7DB052A4">
      <w:pPr>
        <w:spacing w:line="480" w:lineRule="exact"/>
        <w:ind w:right="720"/>
        <w:rPr>
          <w:rFonts w:hint="eastAsia" w:ascii="仿宋" w:hAnsi="仿宋" w:eastAsia="仿宋"/>
          <w:color w:val="000000"/>
          <w:sz w:val="28"/>
          <w:szCs w:val="28"/>
          <w:highlight w:val="none"/>
        </w:rPr>
      </w:pPr>
    </w:p>
    <w:p w14:paraId="081AB142">
      <w:pPr>
        <w:spacing w:line="480" w:lineRule="exact"/>
        <w:ind w:right="180" w:firstLine="420"/>
        <w:jc w:val="righ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企业名称（加盖CA电子公章）：</w:t>
      </w:r>
    </w:p>
    <w:p w14:paraId="4877EF71">
      <w:pPr>
        <w:spacing w:line="480" w:lineRule="exact"/>
        <w:ind w:right="480" w:firstLine="630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日  期：</w:t>
      </w:r>
    </w:p>
    <w:p w14:paraId="2AC00B9C">
      <w:pPr>
        <w:spacing w:line="480" w:lineRule="exact"/>
        <w:rPr>
          <w:rFonts w:hint="eastAsia" w:ascii="仿宋" w:hAnsi="仿宋" w:eastAsia="仿宋"/>
          <w:color w:val="000000"/>
          <w:sz w:val="28"/>
          <w:szCs w:val="28"/>
          <w:highlight w:val="none"/>
        </w:rPr>
      </w:pPr>
    </w:p>
    <w:p w14:paraId="220538FF">
      <w:pPr>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备注：</w:t>
      </w:r>
    </w:p>
    <w:p w14:paraId="7B9455A5">
      <w:pPr>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1.从业人员、营业收入、资产总额填报上一年度数据，无上一年度数据的新成立企业可不填报。</w:t>
      </w:r>
    </w:p>
    <w:p w14:paraId="6ABED648">
      <w:pPr>
        <w:spacing w:line="480" w:lineRule="exact"/>
        <w:ind w:firstLine="562"/>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2.专门</w:t>
      </w:r>
      <w:r>
        <w:rPr>
          <w:rFonts w:ascii="仿宋" w:hAnsi="仿宋" w:eastAsia="仿宋"/>
          <w:b/>
          <w:color w:val="000000"/>
          <w:sz w:val="28"/>
          <w:szCs w:val="28"/>
          <w:highlight w:val="none"/>
        </w:rPr>
        <w:t>面向中小微型企业</w:t>
      </w:r>
      <w:r>
        <w:rPr>
          <w:rFonts w:hint="eastAsia" w:ascii="仿宋" w:hAnsi="仿宋" w:eastAsia="仿宋"/>
          <w:b/>
          <w:color w:val="000000"/>
          <w:sz w:val="28"/>
          <w:szCs w:val="28"/>
          <w:highlight w:val="none"/>
        </w:rPr>
        <w:t>采购</w:t>
      </w:r>
      <w:r>
        <w:rPr>
          <w:rFonts w:ascii="仿宋" w:hAnsi="仿宋" w:eastAsia="仿宋"/>
          <w:b/>
          <w:color w:val="000000"/>
          <w:sz w:val="28"/>
          <w:szCs w:val="28"/>
          <w:highlight w:val="none"/>
        </w:rPr>
        <w:t>的项目，</w:t>
      </w:r>
      <w:r>
        <w:rPr>
          <w:rFonts w:hint="eastAsia" w:ascii="仿宋" w:hAnsi="仿宋" w:eastAsia="仿宋"/>
          <w:b/>
          <w:color w:val="000000"/>
          <w:sz w:val="28"/>
          <w:szCs w:val="28"/>
          <w:highlight w:val="none"/>
        </w:rPr>
        <w:t>供应商如不提供此声明函，则</w:t>
      </w:r>
      <w:r>
        <w:rPr>
          <w:rFonts w:ascii="仿宋" w:hAnsi="仿宋" w:eastAsia="仿宋"/>
          <w:b/>
          <w:color w:val="000000"/>
          <w:sz w:val="28"/>
          <w:szCs w:val="28"/>
          <w:highlight w:val="none"/>
        </w:rPr>
        <w:t>不能通过资格审查；</w:t>
      </w:r>
      <w:r>
        <w:rPr>
          <w:rFonts w:hint="eastAsia" w:ascii="仿宋" w:hAnsi="仿宋" w:eastAsia="仿宋"/>
          <w:b/>
          <w:color w:val="000000"/>
          <w:sz w:val="28"/>
          <w:szCs w:val="28"/>
          <w:highlight w:val="none"/>
        </w:rPr>
        <w:t>非专门</w:t>
      </w:r>
      <w:r>
        <w:rPr>
          <w:rFonts w:ascii="仿宋" w:hAnsi="仿宋" w:eastAsia="仿宋"/>
          <w:b/>
          <w:color w:val="000000"/>
          <w:sz w:val="28"/>
          <w:szCs w:val="28"/>
          <w:highlight w:val="none"/>
        </w:rPr>
        <w:t>面向中小微型企业</w:t>
      </w:r>
      <w:r>
        <w:rPr>
          <w:rFonts w:hint="eastAsia" w:ascii="仿宋" w:hAnsi="仿宋" w:eastAsia="仿宋"/>
          <w:b/>
          <w:color w:val="000000"/>
          <w:sz w:val="28"/>
          <w:szCs w:val="28"/>
          <w:highlight w:val="none"/>
        </w:rPr>
        <w:t>采购</w:t>
      </w:r>
      <w:r>
        <w:rPr>
          <w:rFonts w:ascii="仿宋" w:hAnsi="仿宋" w:eastAsia="仿宋"/>
          <w:b/>
          <w:color w:val="000000"/>
          <w:sz w:val="28"/>
          <w:szCs w:val="28"/>
          <w:highlight w:val="none"/>
        </w:rPr>
        <w:t>的项目，</w:t>
      </w:r>
      <w:r>
        <w:rPr>
          <w:rFonts w:hint="eastAsia" w:ascii="仿宋" w:hAnsi="仿宋" w:eastAsia="仿宋"/>
          <w:b/>
          <w:color w:val="000000"/>
          <w:sz w:val="28"/>
          <w:szCs w:val="28"/>
          <w:highlight w:val="none"/>
        </w:rPr>
        <w:t>供应商如不提供此声明函，价格将不做相应扣除。</w:t>
      </w:r>
    </w:p>
    <w:p w14:paraId="27FAAE5F">
      <w:pPr>
        <w:spacing w:line="480" w:lineRule="exact"/>
        <w:ind w:left="560" w:hanging="1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3.供应商</w:t>
      </w:r>
      <w:r>
        <w:rPr>
          <w:rFonts w:ascii="仿宋" w:hAnsi="仿宋" w:eastAsia="仿宋"/>
          <w:color w:val="000000"/>
          <w:sz w:val="28"/>
          <w:szCs w:val="28"/>
          <w:highlight w:val="none"/>
        </w:rPr>
        <w:t>自行勾选</w:t>
      </w:r>
      <w:r>
        <w:rPr>
          <w:rFonts w:hint="eastAsia" w:ascii="仿宋" w:hAnsi="仿宋" w:eastAsia="仿宋"/>
          <w:color w:val="000000"/>
          <w:sz w:val="28"/>
          <w:szCs w:val="28"/>
          <w:highlight w:val="none"/>
        </w:rPr>
        <w:t>制造商</w:t>
      </w:r>
      <w:r>
        <w:rPr>
          <w:rFonts w:ascii="仿宋" w:hAnsi="仿宋" w:eastAsia="仿宋"/>
          <w:color w:val="000000"/>
          <w:sz w:val="28"/>
          <w:szCs w:val="28"/>
          <w:highlight w:val="none"/>
        </w:rPr>
        <w:t>的企业</w:t>
      </w:r>
      <w:r>
        <w:rPr>
          <w:rFonts w:hint="eastAsia" w:ascii="仿宋" w:hAnsi="仿宋" w:eastAsia="仿宋"/>
          <w:color w:val="000000"/>
          <w:sz w:val="28"/>
          <w:szCs w:val="28"/>
          <w:highlight w:val="none"/>
        </w:rPr>
        <w:t>规模类型</w:t>
      </w:r>
      <w:r>
        <w:rPr>
          <w:rFonts w:ascii="仿宋" w:hAnsi="仿宋" w:eastAsia="仿宋"/>
          <w:color w:val="000000"/>
          <w:sz w:val="28"/>
          <w:szCs w:val="28"/>
          <w:highlight w:val="none"/>
        </w:rPr>
        <w:t>。</w:t>
      </w:r>
    </w:p>
    <w:p w14:paraId="2EF82C33">
      <w:pPr>
        <w:spacing w:line="480" w:lineRule="exact"/>
        <w:ind w:left="560" w:hanging="140"/>
        <w:rPr>
          <w:rFonts w:hint="eastAsia" w:ascii="仿宋" w:hAnsi="仿宋" w:eastAsia="仿宋"/>
          <w:color w:val="000000"/>
          <w:sz w:val="28"/>
          <w:szCs w:val="28"/>
          <w:highlight w:val="none"/>
        </w:rPr>
      </w:pPr>
    </w:p>
    <w:p w14:paraId="276359F8">
      <w:pPr>
        <w:spacing w:line="480" w:lineRule="exact"/>
        <w:ind w:left="560" w:hanging="140"/>
        <w:rPr>
          <w:rFonts w:hint="eastAsia" w:ascii="仿宋" w:hAnsi="仿宋" w:eastAsia="仿宋"/>
          <w:color w:val="000000"/>
          <w:sz w:val="28"/>
          <w:szCs w:val="28"/>
          <w:highlight w:val="none"/>
        </w:rPr>
      </w:pPr>
    </w:p>
    <w:p w14:paraId="44A9FA51">
      <w:pPr>
        <w:spacing w:after="120"/>
        <w:ind w:firstLine="240"/>
        <w:rPr>
          <w:sz w:val="24"/>
          <w:highlight w:val="none"/>
        </w:rPr>
      </w:pPr>
    </w:p>
    <w:p w14:paraId="64085A60">
      <w:pPr>
        <w:spacing w:after="120"/>
        <w:ind w:firstLine="240"/>
        <w:rPr>
          <w:sz w:val="24"/>
          <w:highlight w:val="none"/>
        </w:rPr>
      </w:pPr>
    </w:p>
    <w:p w14:paraId="7874BDF0">
      <w:pPr>
        <w:spacing w:after="120"/>
        <w:ind w:firstLine="240"/>
        <w:rPr>
          <w:sz w:val="24"/>
          <w:highlight w:val="none"/>
        </w:rPr>
      </w:pPr>
    </w:p>
    <w:p w14:paraId="251D6819">
      <w:pPr>
        <w:spacing w:after="120"/>
        <w:ind w:firstLine="240"/>
        <w:rPr>
          <w:sz w:val="24"/>
          <w:highlight w:val="none"/>
        </w:rPr>
      </w:pPr>
    </w:p>
    <w:p w14:paraId="762D5410">
      <w:pPr>
        <w:rPr>
          <w:rFonts w:hint="eastAsia" w:ascii="宋体" w:hAnsi="宋体"/>
          <w:b/>
          <w:sz w:val="24"/>
          <w:highlight w:val="none"/>
        </w:rPr>
      </w:pPr>
      <w:r>
        <w:rPr>
          <w:rFonts w:hint="eastAsia" w:ascii="宋体" w:hAnsi="宋体"/>
          <w:b/>
          <w:sz w:val="24"/>
          <w:highlight w:val="none"/>
        </w:rPr>
        <w:br w:type="page"/>
      </w:r>
    </w:p>
    <w:p w14:paraId="25EC3533">
      <w:pPr>
        <w:spacing w:line="480" w:lineRule="exact"/>
        <w:ind w:left="561" w:hanging="141"/>
        <w:jc w:val="center"/>
        <w:rPr>
          <w:rFonts w:hint="eastAsia" w:ascii="仿宋" w:hAnsi="仿宋" w:eastAsia="仿宋"/>
          <w:color w:val="000000"/>
          <w:sz w:val="28"/>
          <w:szCs w:val="28"/>
          <w:highlight w:val="none"/>
        </w:rPr>
      </w:pPr>
      <w:r>
        <w:rPr>
          <w:rFonts w:hint="eastAsia" w:ascii="仿宋" w:hAnsi="仿宋" w:eastAsia="仿宋"/>
          <w:b/>
          <w:color w:val="000000"/>
          <w:sz w:val="28"/>
          <w:szCs w:val="28"/>
          <w:highlight w:val="none"/>
          <w:lang w:eastAsia="zh-CN"/>
        </w:rPr>
        <w:t>（</w:t>
      </w:r>
      <w:r>
        <w:rPr>
          <w:rFonts w:hint="eastAsia" w:ascii="仿宋" w:hAnsi="仿宋" w:eastAsia="仿宋"/>
          <w:b/>
          <w:color w:val="000000"/>
          <w:sz w:val="28"/>
          <w:szCs w:val="28"/>
          <w:highlight w:val="none"/>
          <w:lang w:val="en-US" w:eastAsia="zh-CN"/>
        </w:rPr>
        <w:t>二</w:t>
      </w:r>
      <w:r>
        <w:rPr>
          <w:rFonts w:hint="eastAsia" w:ascii="仿宋" w:hAnsi="仿宋" w:eastAsia="仿宋"/>
          <w:b/>
          <w:color w:val="000000"/>
          <w:sz w:val="28"/>
          <w:szCs w:val="28"/>
          <w:highlight w:val="none"/>
          <w:lang w:eastAsia="zh-CN"/>
        </w:rPr>
        <w:t>）</w:t>
      </w:r>
      <w:r>
        <w:rPr>
          <w:rFonts w:hint="eastAsia" w:ascii="仿宋" w:hAnsi="仿宋" w:eastAsia="仿宋"/>
          <w:b/>
          <w:color w:val="000000"/>
          <w:sz w:val="28"/>
          <w:szCs w:val="28"/>
          <w:highlight w:val="none"/>
        </w:rPr>
        <w:t>残疾人福利性单位声明函（货物类项目）</w:t>
      </w:r>
    </w:p>
    <w:p w14:paraId="2DF87764">
      <w:pPr>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highlight w:val="none"/>
        </w:rPr>
        <w:t>JSZC-320000-</w:t>
      </w:r>
      <w:r>
        <w:rPr>
          <w:rFonts w:ascii="仿宋" w:hAnsi="仿宋" w:eastAsia="仿宋"/>
          <w:color w:val="000000"/>
          <w:sz w:val="28"/>
          <w:szCs w:val="28"/>
          <w:highlight w:val="none"/>
          <w:u w:val="single"/>
        </w:rPr>
        <w:t>****</w:t>
      </w:r>
      <w:r>
        <w:rPr>
          <w:rFonts w:hint="eastAsia" w:ascii="仿宋" w:hAnsi="仿宋" w:eastAsia="仿宋"/>
          <w:color w:val="000000"/>
          <w:sz w:val="28"/>
          <w:szCs w:val="28"/>
          <w:highlight w:val="none"/>
        </w:rPr>
        <w:t>的____项目（分包号：**）采购活动提供本单位制造的货物，或者提供其他残疾人福利性单位制造的货物（不包括使用非残疾人福利性单位注册商标的货物）。</w:t>
      </w:r>
    </w:p>
    <w:p w14:paraId="3B75840D">
      <w:pPr>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本单位对上述声明的真实性负责。如有虚假，将依法承担相应责任。</w:t>
      </w:r>
    </w:p>
    <w:p w14:paraId="4827511B">
      <w:pPr>
        <w:spacing w:line="480" w:lineRule="exact"/>
        <w:ind w:firstLine="560"/>
        <w:rPr>
          <w:rFonts w:hint="eastAsia" w:ascii="仿宋" w:hAnsi="仿宋" w:eastAsia="仿宋"/>
          <w:color w:val="000000"/>
          <w:sz w:val="28"/>
          <w:szCs w:val="28"/>
          <w:highlight w:val="none"/>
        </w:rPr>
      </w:pPr>
    </w:p>
    <w:p w14:paraId="5C813871">
      <w:pPr>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备注：</w:t>
      </w:r>
    </w:p>
    <w:p w14:paraId="1A9DF9CE">
      <w:pPr>
        <w:spacing w:line="480" w:lineRule="exact"/>
        <w:ind w:firstLine="562"/>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1</w:t>
      </w:r>
      <w:r>
        <w:rPr>
          <w:rFonts w:ascii="仿宋" w:hAnsi="仿宋" w:eastAsia="仿宋"/>
          <w:b/>
          <w:color w:val="000000"/>
          <w:sz w:val="28"/>
          <w:szCs w:val="28"/>
          <w:highlight w:val="none"/>
        </w:rPr>
        <w:t>.</w:t>
      </w:r>
      <w:r>
        <w:rPr>
          <w:rFonts w:hint="eastAsia" w:ascii="仿宋" w:hAnsi="仿宋" w:eastAsia="仿宋"/>
          <w:b/>
          <w:color w:val="000000"/>
          <w:sz w:val="28"/>
          <w:szCs w:val="28"/>
          <w:highlight w:val="none"/>
        </w:rPr>
        <w:t>专门面向中小微型企业采购的</w:t>
      </w:r>
      <w:r>
        <w:rPr>
          <w:rFonts w:ascii="仿宋" w:hAnsi="仿宋" w:eastAsia="仿宋"/>
          <w:b/>
          <w:color w:val="000000"/>
          <w:sz w:val="28"/>
          <w:szCs w:val="28"/>
          <w:highlight w:val="none"/>
        </w:rPr>
        <w:t>项目</w:t>
      </w:r>
      <w:r>
        <w:rPr>
          <w:rFonts w:hint="eastAsia" w:ascii="仿宋" w:hAnsi="仿宋" w:eastAsia="仿宋"/>
          <w:b/>
          <w:color w:val="000000"/>
          <w:sz w:val="28"/>
          <w:szCs w:val="28"/>
          <w:highlight w:val="none"/>
        </w:rPr>
        <w:t>，供应商为残疾人福利性单位并提供本单位制造的货物，或者提供其他残疾人福利性单位制造的货物，必须提供此</w:t>
      </w:r>
      <w:r>
        <w:rPr>
          <w:rFonts w:ascii="仿宋" w:hAnsi="仿宋" w:eastAsia="仿宋"/>
          <w:b/>
          <w:color w:val="000000"/>
          <w:sz w:val="28"/>
          <w:szCs w:val="28"/>
          <w:highlight w:val="none"/>
        </w:rPr>
        <w:t>声明函</w:t>
      </w:r>
      <w:r>
        <w:rPr>
          <w:rFonts w:hint="eastAsia" w:ascii="仿宋" w:hAnsi="仿宋" w:eastAsia="仿宋"/>
          <w:b/>
          <w:color w:val="000000"/>
          <w:sz w:val="28"/>
          <w:szCs w:val="28"/>
          <w:highlight w:val="none"/>
        </w:rPr>
        <w:t>，</w:t>
      </w:r>
      <w:r>
        <w:rPr>
          <w:rFonts w:ascii="仿宋" w:hAnsi="仿宋" w:eastAsia="仿宋"/>
          <w:b/>
          <w:color w:val="000000"/>
          <w:sz w:val="28"/>
          <w:szCs w:val="28"/>
          <w:highlight w:val="none"/>
        </w:rPr>
        <w:t>否则将</w:t>
      </w:r>
      <w:r>
        <w:rPr>
          <w:rFonts w:hint="eastAsia" w:ascii="仿宋" w:hAnsi="仿宋" w:eastAsia="仿宋"/>
          <w:b/>
          <w:color w:val="000000"/>
          <w:sz w:val="28"/>
          <w:szCs w:val="28"/>
          <w:highlight w:val="none"/>
        </w:rPr>
        <w:t>不能</w:t>
      </w:r>
      <w:r>
        <w:rPr>
          <w:rFonts w:ascii="仿宋" w:hAnsi="仿宋" w:eastAsia="仿宋"/>
          <w:b/>
          <w:color w:val="000000"/>
          <w:sz w:val="28"/>
          <w:szCs w:val="28"/>
          <w:highlight w:val="none"/>
        </w:rPr>
        <w:t>通过资格审查</w:t>
      </w:r>
      <w:r>
        <w:rPr>
          <w:rFonts w:hint="eastAsia" w:ascii="仿宋" w:hAnsi="仿宋" w:eastAsia="仿宋"/>
          <w:b/>
          <w:color w:val="000000"/>
          <w:sz w:val="28"/>
          <w:szCs w:val="28"/>
          <w:highlight w:val="none"/>
        </w:rPr>
        <w:t>。</w:t>
      </w:r>
    </w:p>
    <w:p w14:paraId="08A89283">
      <w:pPr>
        <w:spacing w:line="48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 非专门面向中小微型企业采购的</w:t>
      </w:r>
      <w:r>
        <w:rPr>
          <w:rFonts w:ascii="仿宋" w:hAnsi="仿宋" w:eastAsia="仿宋"/>
          <w:color w:val="000000"/>
          <w:sz w:val="28"/>
          <w:szCs w:val="28"/>
          <w:highlight w:val="none"/>
        </w:rPr>
        <w:t>项目</w:t>
      </w:r>
      <w:r>
        <w:rPr>
          <w:rFonts w:hint="eastAsia" w:ascii="仿宋" w:hAnsi="仿宋" w:eastAsia="仿宋"/>
          <w:color w:val="000000"/>
          <w:sz w:val="28"/>
          <w:szCs w:val="28"/>
          <w:highlight w:val="none"/>
        </w:rPr>
        <w:t>，供应商如不提供此声明函，价格将不做相应扣除。</w:t>
      </w:r>
    </w:p>
    <w:p w14:paraId="014B6799">
      <w:pPr>
        <w:spacing w:line="480" w:lineRule="exact"/>
        <w:ind w:firstLine="560"/>
        <w:rPr>
          <w:rFonts w:hint="eastAsia" w:ascii="仿宋" w:hAnsi="仿宋" w:eastAsia="仿宋"/>
          <w:color w:val="000000"/>
          <w:sz w:val="28"/>
          <w:szCs w:val="28"/>
          <w:highlight w:val="none"/>
        </w:rPr>
      </w:pPr>
      <w:r>
        <w:rPr>
          <w:rFonts w:ascii="仿宋" w:hAnsi="仿宋" w:eastAsia="仿宋"/>
          <w:color w:val="000000"/>
          <w:sz w:val="28"/>
          <w:szCs w:val="28"/>
          <w:highlight w:val="none"/>
        </w:rPr>
        <w:t>3</w:t>
      </w:r>
      <w:r>
        <w:rPr>
          <w:rFonts w:hint="eastAsia" w:ascii="仿宋" w:hAnsi="仿宋" w:eastAsia="仿宋"/>
          <w:color w:val="000000"/>
          <w:sz w:val="28"/>
          <w:szCs w:val="28"/>
          <w:highlight w:val="none"/>
        </w:rPr>
        <w:t>.中标/成交供应商为残疾人福利性单位的，此声明函将随中标/成交结果同时公告，接受社会监督。</w:t>
      </w:r>
    </w:p>
    <w:p w14:paraId="69124A4F">
      <w:pPr>
        <w:spacing w:line="480" w:lineRule="exact"/>
        <w:ind w:firstLine="584"/>
        <w:rPr>
          <w:rFonts w:hint="eastAsia" w:ascii="仿宋" w:hAnsi="仿宋" w:eastAsia="仿宋"/>
          <w:color w:val="000000"/>
          <w:spacing w:val="6"/>
          <w:sz w:val="28"/>
          <w:szCs w:val="28"/>
          <w:highlight w:val="none"/>
        </w:rPr>
      </w:pPr>
    </w:p>
    <w:p w14:paraId="41CF9EFD">
      <w:pPr>
        <w:tabs>
          <w:tab w:val="left" w:pos="4860"/>
        </w:tabs>
        <w:spacing w:line="480" w:lineRule="exact"/>
        <w:ind w:right="1559" w:firstLine="584"/>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               供应商全称（加盖CA电子公章）：</w:t>
      </w:r>
    </w:p>
    <w:p w14:paraId="6CCBBBB3">
      <w:pPr>
        <w:tabs>
          <w:tab w:val="left" w:pos="4860"/>
        </w:tabs>
        <w:spacing w:line="480" w:lineRule="exact"/>
        <w:ind w:right="1559" w:firstLine="560"/>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        日  期：</w:t>
      </w:r>
    </w:p>
    <w:p w14:paraId="44063524">
      <w:pPr>
        <w:spacing w:line="588" w:lineRule="exact"/>
        <w:rPr>
          <w:rFonts w:hint="eastAsia" w:ascii="宋体" w:hAnsi="宋体"/>
          <w:spacing w:val="6"/>
          <w:sz w:val="28"/>
          <w:szCs w:val="28"/>
          <w:highlight w:val="none"/>
        </w:rPr>
      </w:pPr>
    </w:p>
    <w:p w14:paraId="1586512C">
      <w:pPr>
        <w:spacing w:line="588" w:lineRule="exact"/>
        <w:rPr>
          <w:rFonts w:hint="eastAsia" w:ascii="宋体" w:hAnsi="宋体"/>
          <w:spacing w:val="6"/>
          <w:sz w:val="28"/>
          <w:szCs w:val="28"/>
          <w:highlight w:val="none"/>
        </w:rPr>
      </w:pPr>
    </w:p>
    <w:p w14:paraId="7FD6AEF8">
      <w:pPr>
        <w:rPr>
          <w:rFonts w:hint="eastAsia" w:ascii="宋体" w:hAnsi="宋体"/>
          <w:sz w:val="28"/>
          <w:szCs w:val="28"/>
          <w:highlight w:val="none"/>
        </w:rPr>
      </w:pPr>
    </w:p>
    <w:p w14:paraId="4399EA4C">
      <w:pPr>
        <w:spacing w:after="120"/>
        <w:rPr>
          <w:rFonts w:hint="eastAsia" w:ascii="宋体" w:hAnsi="宋体"/>
          <w:sz w:val="28"/>
          <w:szCs w:val="28"/>
          <w:highlight w:val="none"/>
        </w:rPr>
      </w:pPr>
    </w:p>
    <w:p w14:paraId="7B7B26A9">
      <w:pPr>
        <w:spacing w:line="420" w:lineRule="exact"/>
        <w:jc w:val="both"/>
        <w:outlineLvl w:val="3"/>
        <w:rPr>
          <w:rFonts w:hint="eastAsia" w:ascii="Calibri" w:hAnsi="Calibri" w:cs="宋体"/>
          <w:b/>
          <w:bCs/>
          <w:color w:val="auto"/>
          <w:sz w:val="32"/>
          <w:szCs w:val="32"/>
          <w:highlight w:val="none"/>
          <w:lang w:bidi="ar"/>
        </w:rPr>
      </w:pPr>
    </w:p>
    <w:p w14:paraId="5D1C5D7E">
      <w:pPr>
        <w:spacing w:line="420" w:lineRule="exact"/>
        <w:jc w:val="both"/>
        <w:outlineLvl w:val="3"/>
        <w:rPr>
          <w:rFonts w:hint="eastAsia" w:ascii="Calibri" w:hAnsi="Calibri" w:cs="宋体"/>
          <w:b/>
          <w:bCs/>
          <w:color w:val="auto"/>
          <w:sz w:val="32"/>
          <w:szCs w:val="32"/>
          <w:highlight w:val="none"/>
          <w:lang w:bidi="ar"/>
        </w:rPr>
      </w:pPr>
    </w:p>
    <w:p w14:paraId="5623216B">
      <w:pPr>
        <w:spacing w:line="420" w:lineRule="exact"/>
        <w:jc w:val="both"/>
        <w:outlineLvl w:val="3"/>
        <w:rPr>
          <w:rFonts w:hint="eastAsia" w:ascii="Calibri" w:hAnsi="Calibri" w:cs="宋体"/>
          <w:b/>
          <w:bCs/>
          <w:color w:val="auto"/>
          <w:sz w:val="32"/>
          <w:szCs w:val="32"/>
          <w:highlight w:val="none"/>
          <w:lang w:bidi="ar"/>
        </w:rPr>
      </w:pPr>
    </w:p>
    <w:p w14:paraId="60D4696A">
      <w:pPr>
        <w:spacing w:line="420" w:lineRule="exact"/>
        <w:jc w:val="both"/>
        <w:outlineLvl w:val="3"/>
        <w:rPr>
          <w:rFonts w:hint="eastAsia" w:ascii="Calibri" w:hAnsi="Calibri" w:cs="宋体"/>
          <w:b/>
          <w:bCs/>
          <w:color w:val="auto"/>
          <w:sz w:val="32"/>
          <w:szCs w:val="32"/>
          <w:highlight w:val="none"/>
          <w:lang w:bidi="ar"/>
        </w:rPr>
      </w:pPr>
    </w:p>
    <w:p w14:paraId="07AF05F4">
      <w:pPr>
        <w:spacing w:line="420" w:lineRule="exact"/>
        <w:jc w:val="both"/>
        <w:outlineLvl w:val="3"/>
        <w:rPr>
          <w:rFonts w:hint="eastAsia" w:ascii="Calibri" w:hAnsi="Calibri" w:cs="宋体"/>
          <w:b/>
          <w:bCs/>
          <w:color w:val="auto"/>
          <w:sz w:val="32"/>
          <w:szCs w:val="32"/>
          <w:highlight w:val="none"/>
          <w:lang w:bidi="ar"/>
        </w:rPr>
      </w:pPr>
    </w:p>
    <w:p w14:paraId="5ED4CB12">
      <w:pPr>
        <w:spacing w:line="420" w:lineRule="exact"/>
        <w:jc w:val="both"/>
        <w:outlineLvl w:val="3"/>
        <w:rPr>
          <w:rFonts w:ascii="Calibri" w:hAnsi="Calibri" w:cs="Calibri"/>
          <w:b/>
          <w:bCs/>
          <w:color w:val="auto"/>
          <w:sz w:val="32"/>
          <w:szCs w:val="32"/>
          <w:highlight w:val="none"/>
        </w:rPr>
      </w:pPr>
      <w:r>
        <w:rPr>
          <w:rFonts w:hint="eastAsia" w:ascii="Calibri" w:hAnsi="Calibri" w:cs="宋体"/>
          <w:b/>
          <w:bCs/>
          <w:color w:val="auto"/>
          <w:sz w:val="32"/>
          <w:szCs w:val="32"/>
          <w:highlight w:val="none"/>
          <w:lang w:bidi="ar"/>
        </w:rPr>
        <w:t>（三）监狱和戒毒企业证明材料</w:t>
      </w:r>
    </w:p>
    <w:p w14:paraId="2C078418">
      <w:pPr>
        <w:spacing w:line="420" w:lineRule="exact"/>
        <w:ind w:firstLine="495"/>
        <w:rPr>
          <w:rFonts w:ascii="宋体" w:hAnsi="宋体" w:cs="宋体"/>
          <w:color w:val="auto"/>
          <w:sz w:val="28"/>
          <w:szCs w:val="28"/>
          <w:highlight w:val="none"/>
        </w:rPr>
      </w:pPr>
    </w:p>
    <w:p w14:paraId="4F0C1030">
      <w:pPr>
        <w:spacing w:line="420" w:lineRule="exact"/>
        <w:ind w:firstLine="498"/>
        <w:jc w:val="center"/>
        <w:rPr>
          <w:rFonts w:ascii="宋体" w:hAnsi="宋体" w:cs="宋体"/>
          <w:b/>
          <w:color w:val="auto"/>
          <w:sz w:val="28"/>
          <w:szCs w:val="28"/>
          <w:highlight w:val="none"/>
        </w:rPr>
      </w:pPr>
      <w:r>
        <w:rPr>
          <w:rFonts w:hint="eastAsia" w:ascii="宋体" w:hAnsi="宋体" w:cs="宋体"/>
          <w:b/>
          <w:color w:val="auto"/>
          <w:sz w:val="28"/>
          <w:szCs w:val="28"/>
          <w:highlight w:val="none"/>
          <w:lang w:bidi="ar"/>
        </w:rPr>
        <w:t>（格式自拟）</w:t>
      </w:r>
    </w:p>
    <w:p w14:paraId="29C48BE7">
      <w:pPr>
        <w:spacing w:line="420" w:lineRule="exact"/>
        <w:ind w:firstLine="495"/>
        <w:rPr>
          <w:rFonts w:ascii="宋体" w:hAnsi="宋体" w:cs="宋体"/>
          <w:color w:val="auto"/>
          <w:sz w:val="28"/>
          <w:szCs w:val="28"/>
          <w:highlight w:val="none"/>
        </w:rPr>
      </w:pPr>
    </w:p>
    <w:p w14:paraId="2339ADA1">
      <w:pPr>
        <w:spacing w:line="420" w:lineRule="exact"/>
        <w:ind w:firstLine="660"/>
        <w:rPr>
          <w:rFonts w:ascii="宋体" w:hAnsi="宋体" w:cs="宋体"/>
          <w:color w:val="auto"/>
          <w:sz w:val="28"/>
          <w:szCs w:val="28"/>
          <w:highlight w:val="none"/>
        </w:rPr>
      </w:pPr>
      <w:r>
        <w:rPr>
          <w:rFonts w:hint="eastAsia" w:ascii="宋体" w:hAnsi="宋体" w:cs="宋体"/>
          <w:color w:val="auto"/>
          <w:sz w:val="28"/>
          <w:szCs w:val="28"/>
          <w:highlight w:val="none"/>
          <w:lang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079AD56">
      <w:pPr>
        <w:spacing w:after="120"/>
        <w:ind w:firstLine="320"/>
        <w:rPr>
          <w:rFonts w:ascii="宋体" w:hAnsi="宋体" w:cs="仿宋_GB2312"/>
          <w:color w:val="auto"/>
          <w:sz w:val="32"/>
          <w:szCs w:val="32"/>
          <w:highlight w:val="none"/>
        </w:rPr>
      </w:pPr>
    </w:p>
    <w:p w14:paraId="3E8E81B5">
      <w:pPr>
        <w:spacing w:line="360" w:lineRule="auto"/>
        <w:rPr>
          <w:rFonts w:hint="eastAsia" w:ascii="宋体" w:hAnsi="宋体" w:eastAsia="宋体" w:cs="宋体"/>
          <w:b/>
          <w:color w:val="auto"/>
          <w:sz w:val="30"/>
          <w:szCs w:val="30"/>
          <w:highlight w:val="none"/>
          <w:lang w:eastAsia="zh-CN"/>
        </w:rPr>
      </w:pPr>
      <w:r>
        <w:rPr>
          <w:rFonts w:ascii="宋体" w:hAnsi="宋体" w:cs="宋体"/>
          <w:b/>
          <w:color w:val="auto"/>
          <w:sz w:val="30"/>
          <w:szCs w:val="30"/>
          <w:highlight w:val="none"/>
        </w:rPr>
        <w:br w:type="page" w:clear="all"/>
      </w:r>
      <w:r>
        <w:rPr>
          <w:rFonts w:hint="eastAsia" w:ascii="宋体" w:hAnsi="宋体" w:cs="宋体"/>
          <w:b/>
          <w:color w:val="auto"/>
          <w:sz w:val="30"/>
          <w:szCs w:val="30"/>
          <w:highlight w:val="none"/>
        </w:rPr>
        <w:t>附件</w:t>
      </w:r>
      <w:r>
        <w:rPr>
          <w:rFonts w:hint="eastAsia" w:ascii="宋体" w:hAnsi="宋体" w:cs="宋体"/>
          <w:b/>
          <w:color w:val="auto"/>
          <w:sz w:val="30"/>
          <w:szCs w:val="30"/>
          <w:highlight w:val="none"/>
          <w:lang w:val="en-US" w:eastAsia="zh-CN"/>
        </w:rPr>
        <w:t>5</w:t>
      </w:r>
    </w:p>
    <w:p w14:paraId="2D5146FC">
      <w:pPr>
        <w:spacing w:line="360" w:lineRule="auto"/>
        <w:ind w:left="843" w:hanging="843"/>
        <w:jc w:val="center"/>
        <w:rPr>
          <w:rFonts w:ascii="Calibri" w:hAnsi="Calibri"/>
          <w:b/>
          <w:color w:val="auto"/>
          <w:sz w:val="24"/>
          <w:szCs w:val="22"/>
          <w:highlight w:val="none"/>
        </w:rPr>
      </w:pPr>
      <w:r>
        <w:rPr>
          <w:rFonts w:hint="eastAsia" w:ascii="Calibri" w:hAnsi="Calibri"/>
          <w:b/>
          <w:color w:val="auto"/>
          <w:sz w:val="24"/>
          <w:szCs w:val="22"/>
          <w:highlight w:val="none"/>
        </w:rPr>
        <w:t>投标及履约承诺书</w:t>
      </w:r>
    </w:p>
    <w:p w14:paraId="69AB800C">
      <w:pPr>
        <w:spacing w:line="360" w:lineRule="auto"/>
        <w:jc w:val="left"/>
        <w:rPr>
          <w:rFonts w:ascii="Calibri" w:hAnsi="Calibri"/>
          <w:color w:val="auto"/>
          <w:sz w:val="24"/>
          <w:szCs w:val="22"/>
          <w:highlight w:val="none"/>
          <w:u w:val="single"/>
        </w:rPr>
      </w:pPr>
    </w:p>
    <w:p w14:paraId="693711A7">
      <w:pPr>
        <w:spacing w:line="360" w:lineRule="auto"/>
        <w:jc w:val="left"/>
        <w:rPr>
          <w:rFonts w:ascii="Calibri" w:hAnsi="Calibri"/>
          <w:b/>
          <w:bCs/>
          <w:color w:val="auto"/>
          <w:sz w:val="24"/>
          <w:szCs w:val="22"/>
          <w:highlight w:val="none"/>
        </w:rPr>
      </w:pPr>
      <w:r>
        <w:rPr>
          <w:rFonts w:hint="eastAsia"/>
          <w:color w:val="auto"/>
          <w:sz w:val="24"/>
          <w:szCs w:val="22"/>
          <w:highlight w:val="none"/>
          <w:u w:val="single"/>
          <w:lang w:eastAsia="zh-CN"/>
        </w:rPr>
        <w:t>南通市城市照明管理处</w:t>
      </w:r>
      <w:r>
        <w:rPr>
          <w:rFonts w:ascii="Calibri" w:hAnsi="Calibri"/>
          <w:color w:val="auto"/>
          <w:sz w:val="24"/>
          <w:szCs w:val="22"/>
          <w:highlight w:val="none"/>
        </w:rPr>
        <w:t>：</w:t>
      </w:r>
    </w:p>
    <w:p w14:paraId="468177F5">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rPr>
        <w:t>我单位（供应商名称）郑重</w:t>
      </w:r>
      <w:r>
        <w:rPr>
          <w:rFonts w:hint="eastAsia" w:ascii="Calibri" w:hAnsi="Calibri"/>
          <w:color w:val="auto"/>
          <w:sz w:val="24"/>
          <w:szCs w:val="22"/>
          <w:highlight w:val="none"/>
        </w:rPr>
        <w:t>承诺</w:t>
      </w:r>
      <w:r>
        <w:rPr>
          <w:rFonts w:ascii="Calibri" w:hAnsi="Calibri"/>
          <w:color w:val="auto"/>
          <w:sz w:val="24"/>
          <w:szCs w:val="22"/>
          <w:highlight w:val="none"/>
        </w:rPr>
        <w:t>：</w:t>
      </w:r>
    </w:p>
    <w:p w14:paraId="1BA66641">
      <w:pPr>
        <w:spacing w:line="360" w:lineRule="auto"/>
        <w:ind w:firstLine="480"/>
        <w:jc w:val="left"/>
        <w:rPr>
          <w:rFonts w:ascii="宋体" w:hAnsi="宋体"/>
          <w:color w:val="auto"/>
          <w:sz w:val="24"/>
          <w:szCs w:val="22"/>
          <w:highlight w:val="none"/>
        </w:rPr>
      </w:pPr>
      <w:r>
        <w:rPr>
          <w:rFonts w:hint="eastAsia" w:ascii="宋体" w:hAnsi="宋体"/>
          <w:color w:val="auto"/>
          <w:sz w:val="24"/>
          <w:szCs w:val="22"/>
          <w:highlight w:val="none"/>
        </w:rPr>
        <w:t>1、在本次招投标活动中，不存在《中华人民共和国政府采购法实施条例》 第七十二条、第七十四条 阐述的相关情形。</w:t>
      </w:r>
      <w:r>
        <w:rPr>
          <w:rFonts w:ascii="Calibri" w:hAnsi="Calibri"/>
          <w:color w:val="auto"/>
          <w:sz w:val="24"/>
          <w:szCs w:val="22"/>
          <w:highlight w:val="none"/>
        </w:rPr>
        <w:t>若与</w:t>
      </w:r>
      <w:r>
        <w:rPr>
          <w:rFonts w:hint="eastAsia" w:ascii="Calibri" w:hAnsi="Calibri"/>
          <w:color w:val="auto"/>
          <w:sz w:val="24"/>
          <w:szCs w:val="22"/>
          <w:highlight w:val="none"/>
        </w:rPr>
        <w:t>实际</w:t>
      </w:r>
      <w:r>
        <w:rPr>
          <w:rFonts w:ascii="Calibri" w:hAnsi="Calibri"/>
          <w:color w:val="auto"/>
          <w:sz w:val="24"/>
          <w:szCs w:val="22"/>
          <w:highlight w:val="none"/>
        </w:rPr>
        <w:t>情况不符，</w:t>
      </w:r>
      <w:r>
        <w:rPr>
          <w:rFonts w:hint="eastAsia" w:ascii="Calibri" w:hAnsi="Calibri"/>
          <w:color w:val="auto"/>
          <w:sz w:val="24"/>
          <w:szCs w:val="22"/>
          <w:highlight w:val="none"/>
        </w:rPr>
        <w:t>我单位</w:t>
      </w:r>
      <w:r>
        <w:rPr>
          <w:rFonts w:ascii="Calibri" w:hAnsi="Calibri"/>
          <w:color w:val="auto"/>
          <w:sz w:val="24"/>
          <w:szCs w:val="22"/>
          <w:highlight w:val="none"/>
        </w:rPr>
        <w:t>愿意承担由此而产生的一切后果</w:t>
      </w:r>
      <w:r>
        <w:rPr>
          <w:rFonts w:hint="eastAsia" w:ascii="Calibri" w:hAnsi="Calibri"/>
          <w:color w:val="auto"/>
          <w:sz w:val="24"/>
          <w:szCs w:val="22"/>
          <w:highlight w:val="none"/>
        </w:rPr>
        <w:t>；</w:t>
      </w:r>
    </w:p>
    <w:p w14:paraId="47415B85">
      <w:pPr>
        <w:spacing w:line="360" w:lineRule="auto"/>
        <w:ind w:firstLine="480"/>
        <w:jc w:val="left"/>
        <w:rPr>
          <w:rFonts w:ascii="Calibri" w:hAnsi="Calibri"/>
          <w:color w:val="auto"/>
          <w:sz w:val="24"/>
          <w:szCs w:val="22"/>
          <w:highlight w:val="none"/>
        </w:rPr>
      </w:pPr>
      <w:r>
        <w:rPr>
          <w:rFonts w:hint="eastAsia" w:ascii="宋体" w:hAnsi="宋体"/>
          <w:color w:val="auto"/>
          <w:sz w:val="24"/>
          <w:szCs w:val="22"/>
          <w:highlight w:val="none"/>
        </w:rPr>
        <w:t>2、我单位在中标后充分响应</w:t>
      </w:r>
      <w:r>
        <w:rPr>
          <w:rFonts w:hint="eastAsia" w:ascii="宋体" w:hAnsi="宋体"/>
          <w:color w:val="auto"/>
          <w:sz w:val="24"/>
          <w:szCs w:val="22"/>
          <w:highlight w:val="none"/>
          <w:lang w:val="en-US" w:eastAsia="zh-CN"/>
        </w:rPr>
        <w:t>竞谈</w:t>
      </w:r>
      <w:r>
        <w:rPr>
          <w:rFonts w:hint="eastAsia" w:ascii="宋体" w:hAnsi="宋体"/>
          <w:color w:val="auto"/>
          <w:sz w:val="24"/>
          <w:szCs w:val="22"/>
          <w:highlight w:val="none"/>
        </w:rPr>
        <w:t>文件“项目需求”中各项要求，保质、保量、按时向采购人提供优质服务；</w:t>
      </w:r>
    </w:p>
    <w:p w14:paraId="387B159A">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3、在合同期内如因自身原因不能履行投标承诺，采购人为保证工作进度可立即通知第三方供应。如因不可抗拒力导致无法履约的，我单位将以书面形式向采购人作出说明，否则作违约处理；</w:t>
      </w:r>
    </w:p>
    <w:p w14:paraId="48A8FA01">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1E7D4DCE">
      <w:pPr>
        <w:tabs>
          <w:tab w:val="left" w:pos="2020"/>
          <w:tab w:val="center" w:pos="4535"/>
        </w:tabs>
        <w:spacing w:line="360" w:lineRule="auto"/>
        <w:rPr>
          <w:rFonts w:ascii="宋体" w:hAnsi="宋体" w:cs="宋体"/>
          <w:color w:val="auto"/>
          <w:sz w:val="24"/>
          <w:szCs w:val="22"/>
          <w:highlight w:val="none"/>
        </w:rPr>
      </w:pPr>
    </w:p>
    <w:p w14:paraId="679C2621">
      <w:pPr>
        <w:tabs>
          <w:tab w:val="left" w:pos="2020"/>
          <w:tab w:val="center" w:pos="4535"/>
        </w:tabs>
        <w:spacing w:line="360" w:lineRule="auto"/>
        <w:ind w:firstLine="240"/>
        <w:rPr>
          <w:rFonts w:ascii="Calibri" w:hAnsi="Calibri"/>
          <w:color w:val="auto"/>
          <w:sz w:val="24"/>
          <w:szCs w:val="22"/>
          <w:highlight w:val="none"/>
        </w:rPr>
      </w:pPr>
    </w:p>
    <w:p w14:paraId="51A7F2BD">
      <w:pPr>
        <w:spacing w:line="360" w:lineRule="auto"/>
        <w:ind w:firstLine="2289"/>
        <w:jc w:val="right"/>
        <w:rPr>
          <w:rFonts w:ascii="Calibri" w:hAnsi="Calibri"/>
          <w:b/>
          <w:color w:val="auto"/>
          <w:sz w:val="24"/>
          <w:szCs w:val="22"/>
          <w:highlight w:val="none"/>
        </w:rPr>
      </w:pPr>
    </w:p>
    <w:p w14:paraId="4BE88DE6">
      <w:pPr>
        <w:spacing w:line="360" w:lineRule="auto"/>
        <w:ind w:firstLine="3480"/>
        <w:jc w:val="right"/>
        <w:rPr>
          <w:rFonts w:ascii="Calibri" w:hAnsi="Calibri"/>
          <w:color w:val="auto"/>
          <w:sz w:val="24"/>
          <w:szCs w:val="22"/>
          <w:highlight w:val="none"/>
        </w:rPr>
      </w:pPr>
      <w:r>
        <w:rPr>
          <w:rFonts w:hint="eastAsia" w:ascii="Calibri" w:hAnsi="Calibri"/>
          <w:color w:val="auto"/>
          <w:sz w:val="24"/>
          <w:szCs w:val="22"/>
          <w:highlight w:val="none"/>
        </w:rPr>
        <w:t>承诺人</w:t>
      </w:r>
      <w:r>
        <w:rPr>
          <w:rFonts w:ascii="Calibri" w:hAnsi="Calibri"/>
          <w:color w:val="auto"/>
          <w:sz w:val="24"/>
          <w:szCs w:val="22"/>
          <w:highlight w:val="none"/>
        </w:rPr>
        <w:t>：（公章）</w:t>
      </w:r>
    </w:p>
    <w:p w14:paraId="3D46CE59">
      <w:pPr>
        <w:tabs>
          <w:tab w:val="left" w:pos="2020"/>
          <w:tab w:val="center" w:pos="4535"/>
        </w:tabs>
        <w:spacing w:line="360" w:lineRule="auto"/>
        <w:ind w:firstLine="240"/>
        <w:jc w:val="right"/>
        <w:rPr>
          <w:rFonts w:ascii="宋体" w:hAnsi="宋体" w:cs="宋体"/>
          <w:color w:val="auto"/>
          <w:sz w:val="24"/>
          <w:szCs w:val="22"/>
          <w:highlight w:val="none"/>
        </w:rPr>
      </w:pPr>
      <w:r>
        <w:rPr>
          <w:rFonts w:hint="eastAsia" w:ascii="宋体" w:hAnsi="宋体" w:cs="宋体"/>
          <w:color w:val="auto"/>
          <w:sz w:val="24"/>
          <w:szCs w:val="22"/>
          <w:highlight w:val="none"/>
        </w:rPr>
        <w:t>法定代表人：（签字或盖章）</w:t>
      </w:r>
    </w:p>
    <w:p w14:paraId="4D1B157C">
      <w:pPr>
        <w:tabs>
          <w:tab w:val="left" w:pos="2020"/>
          <w:tab w:val="center" w:pos="4535"/>
        </w:tabs>
        <w:spacing w:line="360" w:lineRule="auto"/>
        <w:ind w:firstLine="240"/>
        <w:jc w:val="right"/>
        <w:rPr>
          <w:rFonts w:ascii="宋体" w:hAnsi="宋体" w:cs="宋体"/>
          <w:color w:val="auto"/>
          <w:sz w:val="24"/>
          <w:szCs w:val="22"/>
          <w:highlight w:val="none"/>
        </w:rPr>
      </w:pPr>
    </w:p>
    <w:p w14:paraId="2C7EACAA">
      <w:pPr>
        <w:spacing w:line="360" w:lineRule="auto"/>
        <w:rPr>
          <w:rFonts w:ascii="宋体" w:hAnsi="宋体" w:cs="仿宋_GB2312"/>
          <w:b/>
          <w:color w:val="auto"/>
          <w:sz w:val="28"/>
          <w:szCs w:val="28"/>
          <w:highlight w:val="none"/>
        </w:rPr>
      </w:pPr>
      <w:r>
        <w:rPr>
          <w:rFonts w:ascii="宋体" w:hAnsi="宋体" w:cs="仿宋_GB2312"/>
          <w:b/>
          <w:color w:val="auto"/>
          <w:sz w:val="28"/>
          <w:szCs w:val="28"/>
          <w:highlight w:val="none"/>
        </w:rPr>
        <w:br w:type="page" w:clear="all"/>
      </w:r>
      <w:r>
        <w:rPr>
          <w:rFonts w:hint="eastAsia" w:ascii="宋体" w:hAnsi="宋体" w:eastAsia="宋体" w:cs="仿宋_GB2312"/>
          <w:b/>
          <w:color w:val="auto"/>
          <w:sz w:val="28"/>
          <w:szCs w:val="28"/>
          <w:highlight w:val="none"/>
          <w:lang w:bidi="ar"/>
        </w:rPr>
        <w:t>（二）符合性审查</w:t>
      </w:r>
      <w:r>
        <w:rPr>
          <w:rFonts w:hint="eastAsia" w:ascii="宋体" w:hAnsi="宋体" w:eastAsia="宋体" w:cs="仿宋_GB2312"/>
          <w:b/>
          <w:color w:val="auto"/>
          <w:sz w:val="28"/>
          <w:szCs w:val="28"/>
          <w:highlight w:val="none"/>
          <w:lang w:val="en-US" w:eastAsia="zh-CN" w:bidi="ar"/>
        </w:rPr>
        <w:t>文件</w:t>
      </w:r>
    </w:p>
    <w:p w14:paraId="4BA8FC9B">
      <w:pPr>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附件</w:t>
      </w:r>
      <w:r>
        <w:rPr>
          <w:rFonts w:hint="eastAsia" w:ascii="宋体" w:hAnsi="宋体" w:cs="宋体"/>
          <w:b/>
          <w:color w:val="auto"/>
          <w:sz w:val="30"/>
          <w:szCs w:val="30"/>
          <w:highlight w:val="none"/>
          <w:lang w:val="en-US" w:eastAsia="zh-CN"/>
        </w:rPr>
        <w:t>6</w:t>
      </w:r>
    </w:p>
    <w:p w14:paraId="6DD652B8">
      <w:pPr>
        <w:pStyle w:val="14"/>
        <w:spacing w:before="65" w:line="222"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szCs w:val="28"/>
          <w:highlight w:val="none"/>
        </w:rPr>
        <w:t>技术要求响应及偏离表</w:t>
      </w:r>
    </w:p>
    <w:p w14:paraId="6C563640">
      <w:pPr>
        <w:spacing w:line="69" w:lineRule="exact"/>
        <w:rPr>
          <w:rFonts w:hint="eastAsia" w:ascii="宋体" w:hAnsi="宋体" w:eastAsia="宋体" w:cs="宋体"/>
          <w:color w:val="auto"/>
          <w:highlight w:val="none"/>
        </w:rPr>
      </w:pPr>
    </w:p>
    <w:tbl>
      <w:tblPr>
        <w:tblStyle w:val="289"/>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4"/>
        <w:gridCol w:w="2959"/>
        <w:gridCol w:w="3102"/>
        <w:gridCol w:w="2083"/>
      </w:tblGrid>
      <w:tr w14:paraId="502BD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554" w:type="dxa"/>
            <w:noWrap w:val="0"/>
            <w:textDirection w:val="tbRlV"/>
            <w:vAlign w:val="top"/>
          </w:tcPr>
          <w:p w14:paraId="0A90EE82">
            <w:pPr>
              <w:pStyle w:val="288"/>
              <w:spacing w:before="139" w:line="217" w:lineRule="auto"/>
              <w:ind w:left="65"/>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959" w:type="dxa"/>
            <w:noWrap w:val="0"/>
            <w:vAlign w:val="top"/>
          </w:tcPr>
          <w:p w14:paraId="6FF7B8ED">
            <w:pPr>
              <w:pStyle w:val="288"/>
              <w:spacing w:before="172" w:line="219" w:lineRule="auto"/>
              <w:ind w:left="840"/>
              <w:rPr>
                <w:rFonts w:hint="eastAsia" w:ascii="宋体" w:hAnsi="宋体" w:eastAsia="宋体" w:cs="宋体"/>
                <w:color w:val="auto"/>
                <w:highlight w:val="none"/>
              </w:rPr>
            </w:pPr>
            <w:r>
              <w:rPr>
                <w:rFonts w:hint="eastAsia" w:ascii="宋体" w:hAnsi="宋体" w:eastAsia="宋体" w:cs="宋体"/>
                <w:color w:val="auto"/>
                <w:spacing w:val="-2"/>
                <w:highlight w:val="none"/>
              </w:rPr>
              <w:t>技术要求</w:t>
            </w:r>
          </w:p>
        </w:tc>
        <w:tc>
          <w:tcPr>
            <w:tcW w:w="3102" w:type="dxa"/>
            <w:noWrap w:val="0"/>
            <w:vAlign w:val="top"/>
          </w:tcPr>
          <w:p w14:paraId="6DBCB466">
            <w:pPr>
              <w:pStyle w:val="288"/>
              <w:spacing w:before="173" w:line="220" w:lineRule="auto"/>
              <w:ind w:left="735"/>
              <w:rPr>
                <w:rFonts w:hint="eastAsia" w:ascii="宋体" w:hAnsi="宋体" w:eastAsia="宋体" w:cs="宋体"/>
                <w:color w:val="auto"/>
                <w:highlight w:val="none"/>
              </w:rPr>
            </w:pPr>
            <w:r>
              <w:rPr>
                <w:rFonts w:hint="eastAsia" w:ascii="宋体" w:hAnsi="宋体" w:eastAsia="宋体" w:cs="宋体"/>
                <w:color w:val="auto"/>
                <w:spacing w:val="-2"/>
                <w:highlight w:val="none"/>
              </w:rPr>
              <w:t>投标响应情况</w:t>
            </w:r>
          </w:p>
        </w:tc>
        <w:tc>
          <w:tcPr>
            <w:tcW w:w="2083" w:type="dxa"/>
            <w:noWrap w:val="0"/>
            <w:vAlign w:val="top"/>
          </w:tcPr>
          <w:p w14:paraId="65C49575">
            <w:pPr>
              <w:pStyle w:val="288"/>
              <w:spacing w:before="172" w:line="219" w:lineRule="auto"/>
              <w:ind w:left="118"/>
              <w:rPr>
                <w:rFonts w:hint="eastAsia" w:ascii="宋体" w:hAnsi="宋体" w:eastAsia="宋体" w:cs="宋体"/>
                <w:color w:val="auto"/>
                <w:highlight w:val="none"/>
              </w:rPr>
            </w:pPr>
            <w:r>
              <w:rPr>
                <w:rFonts w:hint="eastAsia" w:ascii="宋体" w:hAnsi="宋体" w:eastAsia="宋体" w:cs="宋体"/>
                <w:color w:val="auto"/>
                <w:spacing w:val="-1"/>
                <w:highlight w:val="none"/>
              </w:rPr>
              <w:t>超出、符合或偏离</w:t>
            </w:r>
          </w:p>
        </w:tc>
      </w:tr>
      <w:tr w14:paraId="695E0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554" w:type="dxa"/>
            <w:noWrap w:val="0"/>
            <w:vAlign w:val="top"/>
          </w:tcPr>
          <w:p w14:paraId="07075256">
            <w:pPr>
              <w:pStyle w:val="288"/>
              <w:spacing w:before="179" w:line="184" w:lineRule="auto"/>
              <w:ind w:left="175"/>
              <w:rPr>
                <w:rFonts w:hint="eastAsia" w:ascii="宋体" w:hAnsi="宋体" w:eastAsia="宋体" w:cs="宋体"/>
                <w:color w:val="auto"/>
                <w:sz w:val="19"/>
                <w:szCs w:val="19"/>
                <w:highlight w:val="none"/>
              </w:rPr>
            </w:pPr>
            <w:r>
              <w:rPr>
                <w:rFonts w:hint="eastAsia" w:ascii="宋体" w:hAnsi="宋体" w:eastAsia="宋体" w:cs="宋体"/>
                <w:color w:val="auto"/>
                <w:sz w:val="19"/>
                <w:szCs w:val="19"/>
                <w:highlight w:val="none"/>
                <w:lang w:val="en-US" w:eastAsia="en-US" w:bidi="ar-SA"/>
              </w:rPr>
              <w:t>1</w:t>
            </w:r>
          </w:p>
        </w:tc>
        <w:tc>
          <w:tcPr>
            <w:tcW w:w="2959" w:type="dxa"/>
            <w:noWrap w:val="0"/>
            <w:vAlign w:val="top"/>
          </w:tcPr>
          <w:p w14:paraId="384DBC37">
            <w:pPr>
              <w:rPr>
                <w:rFonts w:hint="eastAsia" w:ascii="宋体" w:hAnsi="宋体" w:eastAsia="宋体" w:cs="宋体"/>
                <w:color w:val="auto"/>
                <w:sz w:val="21"/>
                <w:highlight w:val="none"/>
              </w:rPr>
            </w:pPr>
          </w:p>
        </w:tc>
        <w:tc>
          <w:tcPr>
            <w:tcW w:w="3102" w:type="dxa"/>
            <w:noWrap w:val="0"/>
            <w:vAlign w:val="top"/>
          </w:tcPr>
          <w:p w14:paraId="27B282BB">
            <w:pPr>
              <w:rPr>
                <w:rFonts w:hint="eastAsia" w:ascii="宋体" w:hAnsi="宋体" w:eastAsia="宋体" w:cs="宋体"/>
                <w:color w:val="auto"/>
                <w:sz w:val="21"/>
                <w:highlight w:val="none"/>
              </w:rPr>
            </w:pPr>
          </w:p>
        </w:tc>
        <w:tc>
          <w:tcPr>
            <w:tcW w:w="2083" w:type="dxa"/>
            <w:noWrap w:val="0"/>
            <w:vAlign w:val="top"/>
          </w:tcPr>
          <w:p w14:paraId="5C849660">
            <w:pPr>
              <w:rPr>
                <w:rFonts w:hint="eastAsia" w:ascii="宋体" w:hAnsi="宋体" w:eastAsia="宋体" w:cs="宋体"/>
                <w:color w:val="auto"/>
                <w:sz w:val="21"/>
                <w:highlight w:val="none"/>
              </w:rPr>
            </w:pPr>
          </w:p>
        </w:tc>
      </w:tr>
      <w:tr w14:paraId="68B82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7076A07C">
            <w:pPr>
              <w:numPr>
                <w:ilvl w:val="0"/>
                <w:numId w:val="0"/>
              </w:numPr>
              <w:jc w:val="center"/>
              <w:rPr>
                <w:rFonts w:hint="eastAsia" w:ascii="宋体" w:hAnsi="宋体" w:eastAsia="宋体" w:cs="宋体"/>
                <w:color w:val="auto"/>
                <w:sz w:val="19"/>
                <w:szCs w:val="19"/>
                <w:highlight w:val="none"/>
              </w:rPr>
            </w:pPr>
            <w:r>
              <w:rPr>
                <w:rFonts w:hint="eastAsia" w:ascii="宋体" w:hAnsi="宋体" w:eastAsia="宋体" w:cs="宋体"/>
                <w:color w:val="auto"/>
                <w:sz w:val="19"/>
                <w:szCs w:val="19"/>
                <w:highlight w:val="none"/>
                <w:lang w:val="en-US" w:eastAsia="zh-CN" w:bidi="ar-SA"/>
              </w:rPr>
              <w:t>2</w:t>
            </w:r>
          </w:p>
        </w:tc>
        <w:tc>
          <w:tcPr>
            <w:tcW w:w="2959" w:type="dxa"/>
            <w:noWrap w:val="0"/>
            <w:vAlign w:val="top"/>
          </w:tcPr>
          <w:p w14:paraId="228314D6">
            <w:pPr>
              <w:rPr>
                <w:rFonts w:hint="eastAsia" w:ascii="宋体" w:hAnsi="宋体" w:eastAsia="宋体" w:cs="宋体"/>
                <w:color w:val="auto"/>
                <w:sz w:val="21"/>
                <w:highlight w:val="none"/>
              </w:rPr>
            </w:pPr>
          </w:p>
        </w:tc>
        <w:tc>
          <w:tcPr>
            <w:tcW w:w="3102" w:type="dxa"/>
            <w:noWrap w:val="0"/>
            <w:vAlign w:val="top"/>
          </w:tcPr>
          <w:p w14:paraId="675B5DCC">
            <w:pPr>
              <w:rPr>
                <w:rFonts w:hint="eastAsia" w:ascii="宋体" w:hAnsi="宋体" w:eastAsia="宋体" w:cs="宋体"/>
                <w:color w:val="auto"/>
                <w:sz w:val="21"/>
                <w:highlight w:val="none"/>
              </w:rPr>
            </w:pPr>
          </w:p>
        </w:tc>
        <w:tc>
          <w:tcPr>
            <w:tcW w:w="2083" w:type="dxa"/>
            <w:noWrap w:val="0"/>
            <w:vAlign w:val="top"/>
          </w:tcPr>
          <w:p w14:paraId="30E0BD2D">
            <w:pPr>
              <w:rPr>
                <w:rFonts w:hint="eastAsia" w:ascii="宋体" w:hAnsi="宋体" w:eastAsia="宋体" w:cs="宋体"/>
                <w:color w:val="auto"/>
                <w:sz w:val="21"/>
                <w:highlight w:val="none"/>
              </w:rPr>
            </w:pPr>
          </w:p>
        </w:tc>
      </w:tr>
      <w:tr w14:paraId="36EC7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05271667">
            <w:pPr>
              <w:numPr>
                <w:ilvl w:val="0"/>
                <w:numId w:val="0"/>
              </w:numPr>
              <w:jc w:val="center"/>
              <w:rPr>
                <w:rFonts w:hint="eastAsia" w:ascii="宋体" w:hAnsi="宋体" w:eastAsia="宋体" w:cs="宋体"/>
                <w:color w:val="auto"/>
                <w:sz w:val="19"/>
                <w:szCs w:val="19"/>
                <w:highlight w:val="none"/>
              </w:rPr>
            </w:pPr>
            <w:r>
              <w:rPr>
                <w:rFonts w:hint="eastAsia" w:ascii="宋体" w:hAnsi="宋体" w:eastAsia="宋体" w:cs="宋体"/>
                <w:color w:val="auto"/>
                <w:sz w:val="19"/>
                <w:szCs w:val="19"/>
                <w:highlight w:val="none"/>
                <w:lang w:val="en-US" w:eastAsia="zh-CN" w:bidi="ar-SA"/>
              </w:rPr>
              <w:t>3</w:t>
            </w:r>
          </w:p>
        </w:tc>
        <w:tc>
          <w:tcPr>
            <w:tcW w:w="2959" w:type="dxa"/>
            <w:noWrap w:val="0"/>
            <w:vAlign w:val="top"/>
          </w:tcPr>
          <w:p w14:paraId="11A4A44D">
            <w:pPr>
              <w:rPr>
                <w:rFonts w:hint="eastAsia" w:ascii="宋体" w:hAnsi="宋体" w:eastAsia="宋体" w:cs="宋体"/>
                <w:color w:val="auto"/>
                <w:sz w:val="21"/>
                <w:highlight w:val="none"/>
              </w:rPr>
            </w:pPr>
          </w:p>
        </w:tc>
        <w:tc>
          <w:tcPr>
            <w:tcW w:w="3102" w:type="dxa"/>
            <w:noWrap w:val="0"/>
            <w:vAlign w:val="top"/>
          </w:tcPr>
          <w:p w14:paraId="6838344C">
            <w:pPr>
              <w:rPr>
                <w:rFonts w:hint="eastAsia" w:ascii="宋体" w:hAnsi="宋体" w:eastAsia="宋体" w:cs="宋体"/>
                <w:color w:val="auto"/>
                <w:sz w:val="21"/>
                <w:highlight w:val="none"/>
              </w:rPr>
            </w:pPr>
          </w:p>
        </w:tc>
        <w:tc>
          <w:tcPr>
            <w:tcW w:w="2083" w:type="dxa"/>
            <w:noWrap w:val="0"/>
            <w:vAlign w:val="top"/>
          </w:tcPr>
          <w:p w14:paraId="5D2D77D9">
            <w:pPr>
              <w:rPr>
                <w:rFonts w:hint="eastAsia" w:ascii="宋体" w:hAnsi="宋体" w:eastAsia="宋体" w:cs="宋体"/>
                <w:color w:val="auto"/>
                <w:sz w:val="21"/>
                <w:highlight w:val="none"/>
              </w:rPr>
            </w:pPr>
          </w:p>
        </w:tc>
      </w:tr>
      <w:tr w14:paraId="74DA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57868F3A">
            <w:pPr>
              <w:numPr>
                <w:ilvl w:val="0"/>
                <w:numId w:val="0"/>
              </w:numPr>
              <w:jc w:val="center"/>
              <w:rPr>
                <w:rFonts w:hint="eastAsia" w:ascii="宋体" w:hAnsi="宋体" w:eastAsia="宋体" w:cs="宋体"/>
                <w:color w:val="auto"/>
                <w:sz w:val="19"/>
                <w:szCs w:val="19"/>
                <w:highlight w:val="none"/>
              </w:rPr>
            </w:pPr>
            <w:r>
              <w:rPr>
                <w:rFonts w:hint="eastAsia" w:ascii="宋体" w:hAnsi="宋体" w:eastAsia="宋体" w:cs="宋体"/>
                <w:color w:val="auto"/>
                <w:sz w:val="19"/>
                <w:szCs w:val="19"/>
                <w:highlight w:val="none"/>
                <w:lang w:val="en-US" w:eastAsia="zh-CN" w:bidi="ar-SA"/>
              </w:rPr>
              <w:t>4</w:t>
            </w:r>
          </w:p>
        </w:tc>
        <w:tc>
          <w:tcPr>
            <w:tcW w:w="2959" w:type="dxa"/>
            <w:noWrap w:val="0"/>
            <w:vAlign w:val="top"/>
          </w:tcPr>
          <w:p w14:paraId="3EA4F8C9">
            <w:pPr>
              <w:rPr>
                <w:rFonts w:hint="eastAsia" w:ascii="宋体" w:hAnsi="宋体" w:eastAsia="宋体" w:cs="宋体"/>
                <w:color w:val="auto"/>
                <w:sz w:val="21"/>
                <w:highlight w:val="none"/>
              </w:rPr>
            </w:pPr>
          </w:p>
        </w:tc>
        <w:tc>
          <w:tcPr>
            <w:tcW w:w="3102" w:type="dxa"/>
            <w:noWrap w:val="0"/>
            <w:vAlign w:val="top"/>
          </w:tcPr>
          <w:p w14:paraId="69DB0853">
            <w:pPr>
              <w:rPr>
                <w:rFonts w:hint="eastAsia" w:ascii="宋体" w:hAnsi="宋体" w:eastAsia="宋体" w:cs="宋体"/>
                <w:color w:val="auto"/>
                <w:sz w:val="21"/>
                <w:highlight w:val="none"/>
              </w:rPr>
            </w:pPr>
          </w:p>
        </w:tc>
        <w:tc>
          <w:tcPr>
            <w:tcW w:w="2083" w:type="dxa"/>
            <w:noWrap w:val="0"/>
            <w:vAlign w:val="top"/>
          </w:tcPr>
          <w:p w14:paraId="01BF6119">
            <w:pPr>
              <w:rPr>
                <w:rFonts w:hint="eastAsia" w:ascii="宋体" w:hAnsi="宋体" w:eastAsia="宋体" w:cs="宋体"/>
                <w:color w:val="auto"/>
                <w:sz w:val="21"/>
                <w:highlight w:val="none"/>
              </w:rPr>
            </w:pPr>
          </w:p>
        </w:tc>
      </w:tr>
    </w:tbl>
    <w:p w14:paraId="0BE9FD45">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供应商：（加盖CA电子公章）</w:t>
      </w:r>
    </w:p>
    <w:p w14:paraId="705F0120">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183FDEB">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3E133B17">
      <w:pPr>
        <w:pStyle w:val="14"/>
        <w:spacing w:before="42" w:line="221" w:lineRule="auto"/>
        <w:ind w:left="105"/>
        <w:rPr>
          <w:rFonts w:hint="eastAsia" w:ascii="宋体" w:hAnsi="宋体" w:eastAsia="宋体" w:cs="宋体"/>
          <w:color w:val="auto"/>
          <w:spacing w:val="14"/>
          <w:highlight w:val="none"/>
        </w:rPr>
      </w:pPr>
    </w:p>
    <w:p w14:paraId="570201CC">
      <w:pP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-1 证明材料1,证明材料2, ……</w:t>
      </w:r>
    </w:p>
    <w:p w14:paraId="6084FECF">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7C8A5144">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对技术</w:t>
      </w:r>
      <w:r>
        <w:rPr>
          <w:rFonts w:hint="eastAsia" w:ascii="宋体" w:hAnsi="宋体"/>
          <w:color w:val="auto"/>
          <w:sz w:val="24"/>
          <w:szCs w:val="24"/>
          <w:highlight w:val="none"/>
        </w:rPr>
        <w:t>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3CA81A24">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380936C8">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24331F26">
      <w:pPr>
        <w:rPr>
          <w:rFonts w:hint="eastAsia" w:ascii="宋体" w:hAnsi="宋体" w:eastAsia="宋体" w:cs="宋体"/>
          <w:b/>
          <w:bCs/>
          <w:color w:val="auto"/>
          <w:spacing w:val="-5"/>
          <w:highlight w:val="none"/>
        </w:rPr>
      </w:pPr>
      <w:r>
        <w:rPr>
          <w:rFonts w:hint="eastAsia" w:ascii="宋体" w:hAnsi="宋体" w:eastAsia="宋体" w:cs="宋体"/>
          <w:b/>
          <w:bCs/>
          <w:color w:val="auto"/>
          <w:spacing w:val="-5"/>
          <w:highlight w:val="none"/>
        </w:rPr>
        <w:br w:type="page" w:clear="all"/>
      </w:r>
    </w:p>
    <w:p w14:paraId="2DB5371A">
      <w:pPr>
        <w:pStyle w:val="14"/>
        <w:spacing w:before="65" w:line="221" w:lineRule="auto"/>
        <w:ind w:left="107"/>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附件</w:t>
      </w:r>
      <w:r>
        <w:rPr>
          <w:rFonts w:hint="eastAsia" w:ascii="宋体" w:hAnsi="宋体" w:cs="宋体"/>
          <w:b/>
          <w:color w:val="auto"/>
          <w:sz w:val="30"/>
          <w:szCs w:val="30"/>
          <w:highlight w:val="none"/>
          <w:lang w:val="en-US" w:eastAsia="zh-CN"/>
        </w:rPr>
        <w:t>7</w:t>
      </w:r>
    </w:p>
    <w:p w14:paraId="0D945895">
      <w:pPr>
        <w:pStyle w:val="14"/>
        <w:spacing w:before="65" w:line="221"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szCs w:val="28"/>
          <w:highlight w:val="none"/>
        </w:rPr>
        <w:t>商务要求响应及偏离表</w:t>
      </w:r>
    </w:p>
    <w:p w14:paraId="3DF6DEC1">
      <w:pPr>
        <w:spacing w:line="82" w:lineRule="exact"/>
        <w:rPr>
          <w:rFonts w:hint="eastAsia" w:ascii="宋体" w:hAnsi="宋体" w:eastAsia="宋体" w:cs="宋体"/>
          <w:color w:val="auto"/>
          <w:highlight w:val="none"/>
        </w:rPr>
      </w:pPr>
    </w:p>
    <w:tbl>
      <w:tblPr>
        <w:tblStyle w:val="289"/>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3"/>
        <w:gridCol w:w="3225"/>
        <w:gridCol w:w="3380"/>
        <w:gridCol w:w="2270"/>
      </w:tblGrid>
      <w:tr w14:paraId="60DDC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603" w:type="dxa"/>
            <w:noWrap w:val="0"/>
            <w:textDirection w:val="tbRlV"/>
            <w:vAlign w:val="top"/>
          </w:tcPr>
          <w:p w14:paraId="6D31A990">
            <w:pPr>
              <w:pStyle w:val="288"/>
              <w:spacing w:before="139" w:line="217" w:lineRule="auto"/>
              <w:ind w:left="6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3225" w:type="dxa"/>
            <w:noWrap w:val="0"/>
            <w:vAlign w:val="top"/>
          </w:tcPr>
          <w:p w14:paraId="15DAA315">
            <w:pPr>
              <w:pStyle w:val="288"/>
              <w:spacing w:before="172" w:line="219" w:lineRule="auto"/>
              <w:ind w:left="840"/>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lang w:val="en-US" w:eastAsia="zh-CN"/>
              </w:rPr>
              <w:t>商务</w:t>
            </w:r>
            <w:r>
              <w:rPr>
                <w:rFonts w:hint="eastAsia" w:ascii="宋体" w:hAnsi="宋体" w:eastAsia="宋体" w:cs="宋体"/>
                <w:color w:val="auto"/>
                <w:spacing w:val="-2"/>
                <w:sz w:val="22"/>
                <w:szCs w:val="22"/>
                <w:highlight w:val="none"/>
              </w:rPr>
              <w:t>要求</w:t>
            </w:r>
          </w:p>
        </w:tc>
        <w:tc>
          <w:tcPr>
            <w:tcW w:w="3380" w:type="dxa"/>
            <w:noWrap w:val="0"/>
            <w:vAlign w:val="top"/>
          </w:tcPr>
          <w:p w14:paraId="3B5E18B2">
            <w:pPr>
              <w:pStyle w:val="288"/>
              <w:spacing w:before="173" w:line="220" w:lineRule="auto"/>
              <w:ind w:left="735"/>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投标响应情况</w:t>
            </w:r>
          </w:p>
        </w:tc>
        <w:tc>
          <w:tcPr>
            <w:tcW w:w="2270" w:type="dxa"/>
            <w:noWrap w:val="0"/>
            <w:vAlign w:val="top"/>
          </w:tcPr>
          <w:p w14:paraId="54A80F58">
            <w:pPr>
              <w:pStyle w:val="288"/>
              <w:spacing w:before="172" w:line="219" w:lineRule="auto"/>
              <w:ind w:left="118"/>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超出、符合或偏离</w:t>
            </w:r>
          </w:p>
        </w:tc>
      </w:tr>
      <w:tr w14:paraId="5102D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603" w:type="dxa"/>
            <w:noWrap w:val="0"/>
            <w:vAlign w:val="top"/>
          </w:tcPr>
          <w:p w14:paraId="25F4E046">
            <w:pPr>
              <w:pStyle w:val="288"/>
              <w:spacing w:before="179" w:line="184" w:lineRule="auto"/>
              <w:ind w:left="17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en-US" w:bidi="ar-SA"/>
              </w:rPr>
              <w:t>1</w:t>
            </w:r>
          </w:p>
        </w:tc>
        <w:tc>
          <w:tcPr>
            <w:tcW w:w="3225" w:type="dxa"/>
            <w:noWrap w:val="0"/>
            <w:vAlign w:val="top"/>
          </w:tcPr>
          <w:p w14:paraId="707DFCF9">
            <w:pPr>
              <w:rPr>
                <w:rFonts w:hint="eastAsia" w:ascii="宋体" w:hAnsi="宋体" w:eastAsia="宋体" w:cs="宋体"/>
                <w:color w:val="auto"/>
                <w:sz w:val="28"/>
                <w:szCs w:val="24"/>
                <w:highlight w:val="none"/>
              </w:rPr>
            </w:pPr>
          </w:p>
        </w:tc>
        <w:tc>
          <w:tcPr>
            <w:tcW w:w="3380" w:type="dxa"/>
            <w:noWrap w:val="0"/>
            <w:vAlign w:val="top"/>
          </w:tcPr>
          <w:p w14:paraId="36EBC241">
            <w:pPr>
              <w:rPr>
                <w:rFonts w:hint="eastAsia" w:ascii="宋体" w:hAnsi="宋体" w:eastAsia="宋体" w:cs="宋体"/>
                <w:color w:val="auto"/>
                <w:sz w:val="28"/>
                <w:szCs w:val="24"/>
                <w:highlight w:val="none"/>
              </w:rPr>
            </w:pPr>
          </w:p>
        </w:tc>
        <w:tc>
          <w:tcPr>
            <w:tcW w:w="2270" w:type="dxa"/>
            <w:noWrap w:val="0"/>
            <w:vAlign w:val="top"/>
          </w:tcPr>
          <w:p w14:paraId="7A136949">
            <w:pPr>
              <w:rPr>
                <w:rFonts w:hint="eastAsia" w:ascii="宋体" w:hAnsi="宋体" w:eastAsia="宋体" w:cs="宋体"/>
                <w:color w:val="auto"/>
                <w:sz w:val="28"/>
                <w:szCs w:val="24"/>
                <w:highlight w:val="none"/>
              </w:rPr>
            </w:pPr>
          </w:p>
        </w:tc>
      </w:tr>
      <w:tr w14:paraId="6FA1C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noWrap w:val="0"/>
            <w:vAlign w:val="top"/>
          </w:tcPr>
          <w:p w14:paraId="121B1BB6">
            <w:pPr>
              <w:numPr>
                <w:ilvl w:val="0"/>
                <w:numId w:val="0"/>
              </w:num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2</w:t>
            </w:r>
          </w:p>
        </w:tc>
        <w:tc>
          <w:tcPr>
            <w:tcW w:w="3225" w:type="dxa"/>
            <w:noWrap w:val="0"/>
            <w:vAlign w:val="top"/>
          </w:tcPr>
          <w:p w14:paraId="0064F893">
            <w:pPr>
              <w:rPr>
                <w:rFonts w:hint="eastAsia" w:ascii="宋体" w:hAnsi="宋体" w:eastAsia="宋体" w:cs="宋体"/>
                <w:color w:val="auto"/>
                <w:sz w:val="28"/>
                <w:szCs w:val="24"/>
                <w:highlight w:val="none"/>
              </w:rPr>
            </w:pPr>
          </w:p>
        </w:tc>
        <w:tc>
          <w:tcPr>
            <w:tcW w:w="3380" w:type="dxa"/>
            <w:noWrap w:val="0"/>
            <w:vAlign w:val="top"/>
          </w:tcPr>
          <w:p w14:paraId="1061D354">
            <w:pPr>
              <w:rPr>
                <w:rFonts w:hint="eastAsia" w:ascii="宋体" w:hAnsi="宋体" w:eastAsia="宋体" w:cs="宋体"/>
                <w:color w:val="auto"/>
                <w:sz w:val="28"/>
                <w:szCs w:val="24"/>
                <w:highlight w:val="none"/>
              </w:rPr>
            </w:pPr>
          </w:p>
        </w:tc>
        <w:tc>
          <w:tcPr>
            <w:tcW w:w="2270" w:type="dxa"/>
            <w:noWrap w:val="0"/>
            <w:vAlign w:val="top"/>
          </w:tcPr>
          <w:p w14:paraId="701FB4B4">
            <w:pPr>
              <w:rPr>
                <w:rFonts w:hint="eastAsia" w:ascii="宋体" w:hAnsi="宋体" w:eastAsia="宋体" w:cs="宋体"/>
                <w:color w:val="auto"/>
                <w:sz w:val="28"/>
                <w:szCs w:val="24"/>
                <w:highlight w:val="none"/>
              </w:rPr>
            </w:pPr>
          </w:p>
        </w:tc>
      </w:tr>
      <w:tr w14:paraId="616C7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noWrap w:val="0"/>
            <w:vAlign w:val="top"/>
          </w:tcPr>
          <w:p w14:paraId="44CAE805">
            <w:pPr>
              <w:numPr>
                <w:ilvl w:val="0"/>
                <w:numId w:val="0"/>
              </w:num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3</w:t>
            </w:r>
          </w:p>
        </w:tc>
        <w:tc>
          <w:tcPr>
            <w:tcW w:w="3225" w:type="dxa"/>
            <w:noWrap w:val="0"/>
            <w:vAlign w:val="top"/>
          </w:tcPr>
          <w:p w14:paraId="4BE5DC00">
            <w:pPr>
              <w:rPr>
                <w:rFonts w:hint="eastAsia" w:ascii="宋体" w:hAnsi="宋体" w:eastAsia="宋体" w:cs="宋体"/>
                <w:color w:val="auto"/>
                <w:sz w:val="28"/>
                <w:szCs w:val="24"/>
                <w:highlight w:val="none"/>
              </w:rPr>
            </w:pPr>
          </w:p>
        </w:tc>
        <w:tc>
          <w:tcPr>
            <w:tcW w:w="3380" w:type="dxa"/>
            <w:noWrap w:val="0"/>
            <w:vAlign w:val="top"/>
          </w:tcPr>
          <w:p w14:paraId="4EF3D2B6">
            <w:pPr>
              <w:rPr>
                <w:rFonts w:hint="eastAsia" w:ascii="宋体" w:hAnsi="宋体" w:eastAsia="宋体" w:cs="宋体"/>
                <w:color w:val="auto"/>
                <w:sz w:val="28"/>
                <w:szCs w:val="24"/>
                <w:highlight w:val="none"/>
              </w:rPr>
            </w:pPr>
          </w:p>
        </w:tc>
        <w:tc>
          <w:tcPr>
            <w:tcW w:w="2270" w:type="dxa"/>
            <w:noWrap w:val="0"/>
            <w:vAlign w:val="top"/>
          </w:tcPr>
          <w:p w14:paraId="379862BC">
            <w:pPr>
              <w:rPr>
                <w:rFonts w:hint="eastAsia" w:ascii="宋体" w:hAnsi="宋体" w:eastAsia="宋体" w:cs="宋体"/>
                <w:color w:val="auto"/>
                <w:sz w:val="28"/>
                <w:szCs w:val="24"/>
                <w:highlight w:val="none"/>
              </w:rPr>
            </w:pPr>
          </w:p>
        </w:tc>
      </w:tr>
      <w:tr w14:paraId="29356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603" w:type="dxa"/>
            <w:noWrap w:val="0"/>
            <w:vAlign w:val="top"/>
          </w:tcPr>
          <w:p w14:paraId="27AE1023">
            <w:pPr>
              <w:numPr>
                <w:ilvl w:val="0"/>
                <w:numId w:val="0"/>
              </w:num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4</w:t>
            </w:r>
          </w:p>
        </w:tc>
        <w:tc>
          <w:tcPr>
            <w:tcW w:w="3225" w:type="dxa"/>
            <w:noWrap w:val="0"/>
            <w:vAlign w:val="top"/>
          </w:tcPr>
          <w:p w14:paraId="3EC65D45">
            <w:pPr>
              <w:rPr>
                <w:rFonts w:hint="eastAsia" w:ascii="宋体" w:hAnsi="宋体" w:eastAsia="宋体" w:cs="宋体"/>
                <w:color w:val="auto"/>
                <w:sz w:val="28"/>
                <w:szCs w:val="24"/>
                <w:highlight w:val="none"/>
              </w:rPr>
            </w:pPr>
          </w:p>
        </w:tc>
        <w:tc>
          <w:tcPr>
            <w:tcW w:w="3380" w:type="dxa"/>
            <w:noWrap w:val="0"/>
            <w:vAlign w:val="top"/>
          </w:tcPr>
          <w:p w14:paraId="15950C8F">
            <w:pPr>
              <w:rPr>
                <w:rFonts w:hint="eastAsia" w:ascii="宋体" w:hAnsi="宋体" w:eastAsia="宋体" w:cs="宋体"/>
                <w:color w:val="auto"/>
                <w:sz w:val="28"/>
                <w:szCs w:val="24"/>
                <w:highlight w:val="none"/>
              </w:rPr>
            </w:pPr>
          </w:p>
        </w:tc>
        <w:tc>
          <w:tcPr>
            <w:tcW w:w="2270" w:type="dxa"/>
            <w:noWrap w:val="0"/>
            <w:vAlign w:val="top"/>
          </w:tcPr>
          <w:p w14:paraId="3B4A5B53">
            <w:pPr>
              <w:rPr>
                <w:rFonts w:hint="eastAsia" w:ascii="宋体" w:hAnsi="宋体" w:eastAsia="宋体" w:cs="宋体"/>
                <w:color w:val="auto"/>
                <w:sz w:val="28"/>
                <w:szCs w:val="24"/>
                <w:highlight w:val="none"/>
              </w:rPr>
            </w:pPr>
          </w:p>
        </w:tc>
      </w:tr>
    </w:tbl>
    <w:p w14:paraId="5BBD5657">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供应商：（加盖CA电子公章）</w:t>
      </w:r>
    </w:p>
    <w:p w14:paraId="30A95E9C">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3DFA9470">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59FC75A8">
      <w:pPr>
        <w:spacing w:before="34"/>
        <w:rPr>
          <w:rFonts w:hint="eastAsia" w:ascii="宋体" w:hAnsi="宋体" w:eastAsia="宋体" w:cs="宋体"/>
          <w:color w:val="auto"/>
          <w:highlight w:val="none"/>
        </w:rPr>
      </w:pPr>
    </w:p>
    <w:p w14:paraId="5914CC6C">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 xml:space="preserve">  证明材料1,证明材料2, ……</w:t>
      </w:r>
    </w:p>
    <w:p w14:paraId="0F5B66A0">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55C2DA08">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对商务要求中的实质性要求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6B8806A8">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57EBF093">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7C78D43B">
      <w:pPr>
        <w:pStyle w:val="14"/>
        <w:spacing w:before="42" w:line="221" w:lineRule="auto"/>
        <w:ind w:left="105"/>
        <w:rPr>
          <w:rFonts w:hint="eastAsia" w:ascii="宋体" w:hAnsi="宋体" w:eastAsia="宋体" w:cs="宋体"/>
          <w:color w:val="auto"/>
          <w:spacing w:val="14"/>
          <w:highlight w:val="none"/>
        </w:rPr>
      </w:pPr>
    </w:p>
    <w:p w14:paraId="03A3A81D">
      <w:pPr>
        <w:pStyle w:val="14"/>
        <w:spacing w:before="42" w:line="221" w:lineRule="auto"/>
        <w:ind w:left="105"/>
        <w:rPr>
          <w:rFonts w:hint="eastAsia" w:ascii="宋体" w:hAnsi="宋体" w:eastAsia="宋体" w:cs="宋体"/>
          <w:color w:val="auto"/>
          <w:spacing w:val="14"/>
          <w:highlight w:val="none"/>
        </w:rPr>
      </w:pPr>
    </w:p>
    <w:p w14:paraId="204070B9">
      <w:pPr>
        <w:pStyle w:val="287"/>
        <w:spacing w:line="360" w:lineRule="auto"/>
        <w:contextualSpacing/>
        <w:rPr>
          <w:rFonts w:hint="default" w:eastAsia="宋体"/>
          <w:color w:val="auto"/>
          <w:highlight w:val="none"/>
        </w:rPr>
      </w:pPr>
      <w:r>
        <w:rPr>
          <w:rFonts w:ascii="宋体" w:hAnsi="宋体" w:cs="仿宋_GB2312"/>
          <w:color w:val="auto"/>
          <w:sz w:val="32"/>
          <w:szCs w:val="32"/>
          <w:highlight w:val="none"/>
        </w:rPr>
        <w:br w:type="page" w:clear="all"/>
      </w:r>
    </w:p>
    <w:p w14:paraId="3A21D1E4">
      <w:pPr>
        <w:widowControl/>
        <w:numPr>
          <w:ilvl w:val="0"/>
          <w:numId w:val="0"/>
        </w:numPr>
        <w:spacing w:line="360" w:lineRule="auto"/>
        <w:jc w:val="left"/>
        <w:rPr>
          <w:rFonts w:ascii="宋体" w:hAnsi="宋体" w:cs="仿宋_GB2312"/>
          <w:b/>
          <w:color w:val="auto"/>
          <w:sz w:val="28"/>
          <w:szCs w:val="28"/>
          <w:highlight w:val="none"/>
        </w:rPr>
      </w:pPr>
      <w:r>
        <w:rPr>
          <w:rFonts w:hint="eastAsia" w:ascii="宋体" w:hAnsi="宋体" w:eastAsia="宋体" w:cs="仿宋_GB2312"/>
          <w:b/>
          <w:color w:val="auto"/>
          <w:sz w:val="28"/>
          <w:szCs w:val="28"/>
          <w:highlight w:val="none"/>
          <w:lang w:eastAsia="zh-CN" w:bidi="ar"/>
        </w:rPr>
        <w:t>（</w:t>
      </w:r>
      <w:r>
        <w:rPr>
          <w:rFonts w:hint="eastAsia" w:ascii="宋体" w:hAnsi="宋体" w:eastAsia="宋体" w:cs="仿宋_GB2312"/>
          <w:b/>
          <w:color w:val="auto"/>
          <w:sz w:val="28"/>
          <w:szCs w:val="28"/>
          <w:highlight w:val="none"/>
          <w:lang w:val="en-US" w:eastAsia="zh-CN" w:bidi="ar"/>
        </w:rPr>
        <w:t>三</w:t>
      </w:r>
      <w:r>
        <w:rPr>
          <w:rFonts w:hint="eastAsia" w:ascii="宋体" w:hAnsi="宋体" w:eastAsia="宋体" w:cs="仿宋_GB2312"/>
          <w:b/>
          <w:color w:val="auto"/>
          <w:sz w:val="28"/>
          <w:szCs w:val="28"/>
          <w:highlight w:val="none"/>
          <w:lang w:eastAsia="zh-CN" w:bidi="ar"/>
        </w:rPr>
        <w:t>）</w:t>
      </w:r>
      <w:r>
        <w:rPr>
          <w:rFonts w:hint="eastAsia" w:ascii="宋体" w:hAnsi="宋体" w:eastAsia="宋体" w:cs="仿宋_GB2312"/>
          <w:b/>
          <w:color w:val="auto"/>
          <w:sz w:val="28"/>
          <w:szCs w:val="28"/>
          <w:highlight w:val="none"/>
          <w:lang w:bidi="ar"/>
        </w:rPr>
        <w:t>价格文件</w:t>
      </w:r>
    </w:p>
    <w:p w14:paraId="51A01DDB">
      <w:pPr>
        <w:pStyle w:val="14"/>
        <w:spacing w:before="65" w:line="221" w:lineRule="auto"/>
        <w:ind w:left="107"/>
        <w:rPr>
          <w:rFonts w:hint="default" w:ascii="宋体" w:hAnsi="宋体" w:eastAsia="宋体" w:cs="宋体"/>
          <w:b/>
          <w:color w:val="auto"/>
          <w:sz w:val="30"/>
          <w:szCs w:val="30"/>
          <w:highlight w:val="none"/>
        </w:rPr>
      </w:pPr>
      <w:r>
        <w:rPr>
          <w:rFonts w:hint="eastAsia" w:ascii="宋体" w:hAnsi="宋体" w:eastAsia="宋体" w:cs="宋体"/>
          <w:b/>
          <w:color w:val="auto"/>
          <w:sz w:val="30"/>
          <w:szCs w:val="30"/>
          <w:highlight w:val="none"/>
        </w:rPr>
        <w:t>附件</w:t>
      </w:r>
      <w:r>
        <w:rPr>
          <w:rFonts w:hint="eastAsia" w:ascii="宋体" w:hAnsi="宋体" w:cs="宋体"/>
          <w:b/>
          <w:color w:val="auto"/>
          <w:sz w:val="30"/>
          <w:szCs w:val="30"/>
          <w:highlight w:val="none"/>
          <w:lang w:val="en-US" w:eastAsia="zh-CN"/>
        </w:rPr>
        <w:t>8</w:t>
      </w:r>
    </w:p>
    <w:p w14:paraId="55B17781">
      <w:pPr>
        <w:keepNext w:val="0"/>
        <w:keepLines w:val="0"/>
        <w:widowControl/>
        <w:suppressLineNumbers w:val="0"/>
        <w:spacing w:before="0" w:beforeAutospacing="1" w:after="0" w:afterAutospacing="1" w:line="500" w:lineRule="atLeast"/>
        <w:ind w:left="0" w:right="0"/>
        <w:jc w:val="center"/>
        <w:rPr>
          <w:rFonts w:hint="eastAsia" w:ascii="宋体" w:hAnsi="宋体" w:eastAsia="宋体" w:cs="宋体"/>
          <w:b/>
          <w:bCs w:val="0"/>
          <w:color w:val="auto"/>
          <w:sz w:val="30"/>
          <w:szCs w:val="30"/>
          <w:highlight w:val="none"/>
        </w:rPr>
      </w:pPr>
      <w:r>
        <w:rPr>
          <w:rFonts w:hint="eastAsia" w:ascii="宋体" w:hAnsi="宋体" w:eastAsia="宋体" w:cs="宋体"/>
          <w:b/>
          <w:bCs/>
          <w:color w:val="auto"/>
          <w:sz w:val="32"/>
          <w:szCs w:val="32"/>
          <w:highlight w:val="none"/>
          <w:lang w:val="en-US" w:eastAsia="zh-CN" w:bidi="ar"/>
        </w:rPr>
        <w:t>报价总表</w:t>
      </w:r>
      <w:r>
        <w:rPr>
          <w:rFonts w:hint="eastAsia" w:ascii="宋体" w:hAnsi="宋体" w:eastAsia="宋体" w:cs="宋体"/>
          <w:b/>
          <w:bCs w:val="0"/>
          <w:color w:val="auto"/>
          <w:sz w:val="32"/>
          <w:szCs w:val="32"/>
          <w:highlight w:val="none"/>
          <w:lang w:val="en-US" w:eastAsia="zh-CN" w:bidi="ar"/>
        </w:rPr>
        <w:t>（首次</w:t>
      </w:r>
      <w:r>
        <w:rPr>
          <w:rFonts w:hint="eastAsia" w:ascii="宋体" w:hAnsi="宋体" w:eastAsia="宋体" w:cs="宋体"/>
          <w:b/>
          <w:bCs w:val="0"/>
          <w:color w:val="auto"/>
          <w:sz w:val="30"/>
          <w:szCs w:val="30"/>
          <w:highlight w:val="none"/>
          <w:lang w:val="en-US" w:eastAsia="zh-CN" w:bidi="ar"/>
        </w:rPr>
        <w:t>）</w:t>
      </w:r>
    </w:p>
    <w:p w14:paraId="03400737">
      <w:pPr>
        <w:rPr>
          <w:rFonts w:hint="eastAsia" w:ascii="宋体" w:hAnsi="宋体" w:eastAsia="宋体" w:cs="宋体"/>
          <w:color w:val="auto"/>
          <w:sz w:val="28"/>
          <w:szCs w:val="28"/>
          <w:highlight w:val="none"/>
          <w:u w:val="single"/>
        </w:rPr>
      </w:pPr>
      <w:r>
        <w:rPr>
          <w:rFonts w:hint="eastAsia" w:ascii="宋体" w:hAnsi="宋体" w:cs="宋体"/>
          <w:color w:val="auto"/>
          <w:sz w:val="28"/>
          <w:szCs w:val="28"/>
          <w:highlight w:val="none"/>
          <w:lang w:val="en-US" w:eastAsia="zh-CN"/>
        </w:rPr>
        <w:t>响应供应商</w:t>
      </w:r>
      <w:r>
        <w:rPr>
          <w:rFonts w:hint="eastAsia" w:ascii="宋体" w:hAnsi="宋体" w:eastAsia="宋体" w:cs="宋体"/>
          <w:color w:val="auto"/>
          <w:sz w:val="28"/>
          <w:szCs w:val="28"/>
          <w:highlight w:val="none"/>
        </w:rPr>
        <w:t>全称（加盖公章）：</w:t>
      </w:r>
    </w:p>
    <w:p w14:paraId="6FB77077">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项目名称：</w:t>
      </w:r>
    </w:p>
    <w:p w14:paraId="7B2EF941">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p>
    <w:p w14:paraId="6D4F4FD8">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分包号：</w:t>
      </w:r>
    </w:p>
    <w:tbl>
      <w:tblPr>
        <w:tblStyle w:val="32"/>
        <w:tblW w:w="93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7"/>
        <w:gridCol w:w="4634"/>
      </w:tblGrid>
      <w:tr w14:paraId="1C96F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noWrap w:val="0"/>
            <w:vAlign w:val="top"/>
          </w:tcPr>
          <w:p w14:paraId="1EF5D685">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Cs w:val="22"/>
                <w:highlight w:val="none"/>
              </w:rPr>
            </w:pPr>
            <w:r>
              <w:rPr>
                <w:rFonts w:hint="eastAsia" w:ascii="宋体" w:hAnsi="宋体" w:cs="宋体"/>
                <w:b/>
                <w:bCs/>
                <w:color w:val="auto"/>
                <w:sz w:val="28"/>
                <w:szCs w:val="28"/>
                <w:highlight w:val="none"/>
                <w:lang w:val="en-US" w:eastAsia="zh-CN"/>
              </w:rPr>
              <w:t>项目</w:t>
            </w:r>
            <w:r>
              <w:rPr>
                <w:rFonts w:hint="eastAsia" w:ascii="宋体" w:hAnsi="宋体" w:eastAsia="宋体" w:cs="宋体"/>
                <w:b/>
                <w:bCs/>
                <w:color w:val="auto"/>
                <w:sz w:val="28"/>
                <w:szCs w:val="28"/>
                <w:highlight w:val="none"/>
              </w:rPr>
              <w:t>名称</w:t>
            </w:r>
          </w:p>
        </w:tc>
        <w:tc>
          <w:tcPr>
            <w:tcW w:w="4634" w:type="dxa"/>
            <w:noWrap w:val="0"/>
            <w:vAlign w:val="top"/>
          </w:tcPr>
          <w:p w14:paraId="123E6531">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Cs w:val="22"/>
                <w:highlight w:val="none"/>
              </w:rPr>
            </w:pPr>
            <w:r>
              <w:rPr>
                <w:rFonts w:hint="eastAsia" w:ascii="宋体" w:hAnsi="宋体" w:eastAsia="宋体" w:cs="宋体"/>
                <w:b/>
                <w:bCs/>
                <w:color w:val="auto"/>
                <w:sz w:val="28"/>
                <w:szCs w:val="28"/>
                <w:highlight w:val="none"/>
              </w:rPr>
              <w:t>投标总报价</w:t>
            </w:r>
          </w:p>
        </w:tc>
      </w:tr>
      <w:tr w14:paraId="7216A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7" w:type="dxa"/>
            <w:noWrap w:val="0"/>
            <w:vAlign w:val="top"/>
          </w:tcPr>
          <w:p w14:paraId="4B489E7B">
            <w:pPr>
              <w:keepNext w:val="0"/>
              <w:keepLines w:val="0"/>
              <w:suppressLineNumbers w:val="0"/>
              <w:spacing w:before="0" w:beforeAutospacing="0" w:after="0" w:afterAutospacing="0" w:line="360" w:lineRule="auto"/>
              <w:ind w:left="0" w:right="0"/>
              <w:rPr>
                <w:rFonts w:hint="eastAsia" w:ascii="宋体" w:hAnsi="宋体" w:eastAsia="宋体" w:cs="宋体"/>
                <w:color w:val="auto"/>
                <w:sz w:val="20"/>
                <w:szCs w:val="21"/>
                <w:highlight w:val="none"/>
              </w:rPr>
            </w:pPr>
            <w:r>
              <w:rPr>
                <w:rFonts w:hint="eastAsia" w:ascii="宋体" w:hAnsi="宋体" w:cs="宋体"/>
                <w:color w:val="auto"/>
                <w:sz w:val="24"/>
                <w:szCs w:val="24"/>
                <w:highlight w:val="none"/>
                <w:lang w:val="en-US" w:eastAsia="zh-CN"/>
              </w:rPr>
              <w:t>南通市城市照明管理处路灯主材（PE管）项目（二次）</w:t>
            </w:r>
          </w:p>
        </w:tc>
        <w:tc>
          <w:tcPr>
            <w:tcW w:w="4634" w:type="dxa"/>
            <w:noWrap w:val="0"/>
            <w:vAlign w:val="top"/>
          </w:tcPr>
          <w:p w14:paraId="3D1B1A9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p w14:paraId="1D6AF29F">
            <w:pPr>
              <w:keepNext w:val="0"/>
              <w:keepLines w:val="0"/>
              <w:suppressLineNumbers w:val="0"/>
              <w:spacing w:before="0" w:beforeAutospacing="0" w:after="0" w:afterAutospacing="0" w:line="360" w:lineRule="auto"/>
              <w:ind w:left="0" w:right="0"/>
              <w:rPr>
                <w:rFonts w:hint="eastAsia" w:ascii="宋体" w:hAnsi="宋体" w:eastAsia="宋体" w:cs="宋体"/>
                <w:color w:val="auto"/>
                <w:sz w:val="20"/>
                <w:szCs w:val="21"/>
                <w:highlight w:val="none"/>
                <w:u w:val="single"/>
              </w:rPr>
            </w:pPr>
            <w:r>
              <w:rPr>
                <w:rFonts w:hint="eastAsia" w:ascii="宋体" w:hAnsi="宋体" w:eastAsia="宋体" w:cs="宋体"/>
                <w:color w:val="auto"/>
                <w:sz w:val="24"/>
                <w:szCs w:val="24"/>
                <w:highlight w:val="none"/>
              </w:rPr>
              <w:t>小写：元（人民币）</w:t>
            </w:r>
          </w:p>
        </w:tc>
      </w:tr>
    </w:tbl>
    <w:p w14:paraId="7719B14A">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p>
    <w:p w14:paraId="4D25BBC1">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填写说明：</w:t>
      </w:r>
    </w:p>
    <w:p w14:paraId="771DDCD2">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报价总表</w:t>
      </w:r>
      <w:r>
        <w:rPr>
          <w:rFonts w:hint="eastAsia" w:ascii="宋体" w:hAnsi="宋体" w:eastAsia="宋体" w:cs="宋体"/>
          <w:color w:val="auto"/>
          <w:sz w:val="28"/>
          <w:szCs w:val="28"/>
          <w:highlight w:val="none"/>
        </w:rPr>
        <w:t>必须加盖</w:t>
      </w:r>
      <w:r>
        <w:rPr>
          <w:rFonts w:hint="eastAsia" w:ascii="宋体" w:hAnsi="宋体" w:cs="宋体"/>
          <w:color w:val="auto"/>
          <w:sz w:val="28"/>
          <w:szCs w:val="28"/>
          <w:highlight w:val="none"/>
          <w:lang w:val="en-US" w:eastAsia="zh-CN"/>
        </w:rPr>
        <w:t>响应供应商</w:t>
      </w:r>
      <w:r>
        <w:rPr>
          <w:rFonts w:hint="eastAsia" w:ascii="宋体" w:hAnsi="宋体" w:eastAsia="宋体" w:cs="宋体"/>
          <w:color w:val="auto"/>
          <w:sz w:val="28"/>
          <w:szCs w:val="28"/>
          <w:highlight w:val="none"/>
        </w:rPr>
        <w:t>公章（复印件无效）。</w:t>
      </w:r>
    </w:p>
    <w:p w14:paraId="64087CFD">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2、如有分包，投标人投任何一个包的标的，都需单独填写开标一览表。</w:t>
      </w:r>
    </w:p>
    <w:p w14:paraId="349CC0B6">
      <w:pPr>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3、投标报价最多保留小数点后两位。</w:t>
      </w:r>
    </w:p>
    <w:p w14:paraId="3F269046">
      <w:pPr>
        <w:spacing w:line="400" w:lineRule="exact"/>
        <w:ind w:firstLine="540"/>
        <w:contextualSpacing/>
        <w:rPr>
          <w:rFonts w:hint="eastAsia" w:ascii="宋体" w:hAnsi="宋体" w:eastAsia="宋体" w:cs="宋体"/>
          <w:b/>
          <w:color w:val="auto"/>
          <w:sz w:val="28"/>
          <w:szCs w:val="28"/>
          <w:highlight w:val="none"/>
        </w:rPr>
      </w:pPr>
    </w:p>
    <w:p w14:paraId="32B235E1">
      <w:pPr>
        <w:pStyle w:val="14"/>
        <w:spacing w:before="65" w:line="221" w:lineRule="auto"/>
        <w:ind w:left="107"/>
        <w:rPr>
          <w:rFonts w:hint="default" w:ascii="宋体" w:hAnsi="宋体" w:eastAsia="宋体" w:cs="宋体"/>
          <w:b/>
          <w:color w:val="auto"/>
          <w:sz w:val="30"/>
          <w:szCs w:val="30"/>
          <w:highlight w:val="none"/>
        </w:rPr>
      </w:pPr>
      <w:r>
        <w:rPr>
          <w:rFonts w:hint="eastAsia" w:ascii="宋体" w:hAnsi="宋体" w:eastAsia="宋体" w:cs="宋体"/>
          <w:b/>
          <w:bCs/>
          <w:color w:val="auto"/>
          <w:sz w:val="32"/>
          <w:szCs w:val="32"/>
          <w:highlight w:val="none"/>
        </w:rPr>
        <w:br w:type="page" w:clear="all"/>
      </w:r>
    </w:p>
    <w:p w14:paraId="004DFD23">
      <w:pPr>
        <w:rPr>
          <w:rFonts w:hint="eastAsia" w:ascii="宋体" w:hAnsi="宋体" w:eastAsia="宋体" w:cs="宋体"/>
          <w:b/>
          <w:bCs/>
          <w:color w:val="auto"/>
          <w:sz w:val="32"/>
          <w:szCs w:val="32"/>
          <w:highlight w:val="none"/>
        </w:rPr>
      </w:pPr>
    </w:p>
    <w:p w14:paraId="183FB352">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bCs w:val="0"/>
          <w:color w:val="auto"/>
          <w:sz w:val="30"/>
          <w:szCs w:val="30"/>
          <w:highlight w:val="none"/>
        </w:rPr>
      </w:pPr>
      <w:r>
        <w:rPr>
          <w:rFonts w:hint="eastAsia" w:ascii="宋体" w:hAnsi="宋体" w:eastAsia="宋体" w:cs="宋体"/>
          <w:b/>
          <w:bCs/>
          <w:color w:val="auto"/>
          <w:sz w:val="32"/>
          <w:szCs w:val="32"/>
          <w:highlight w:val="none"/>
          <w:lang w:val="en-US" w:eastAsia="zh-CN" w:bidi="ar"/>
        </w:rPr>
        <w:t>分项报价明细表</w:t>
      </w:r>
      <w:r>
        <w:rPr>
          <w:rFonts w:hint="eastAsia" w:ascii="宋体" w:hAnsi="宋体" w:eastAsia="宋体" w:cs="宋体"/>
          <w:b/>
          <w:bCs w:val="0"/>
          <w:color w:val="auto"/>
          <w:sz w:val="32"/>
          <w:szCs w:val="32"/>
          <w:highlight w:val="none"/>
          <w:lang w:val="en-US" w:eastAsia="zh-CN" w:bidi="ar"/>
        </w:rPr>
        <w:t>（首次</w:t>
      </w:r>
      <w:r>
        <w:rPr>
          <w:rFonts w:hint="eastAsia" w:ascii="宋体" w:hAnsi="宋体" w:eastAsia="宋体" w:cs="宋体"/>
          <w:b/>
          <w:bCs w:val="0"/>
          <w:color w:val="auto"/>
          <w:sz w:val="30"/>
          <w:szCs w:val="30"/>
          <w:highlight w:val="none"/>
          <w:lang w:val="en-US" w:eastAsia="zh-CN" w:bidi="ar"/>
        </w:rPr>
        <w:t>）</w:t>
      </w:r>
    </w:p>
    <w:p w14:paraId="677BFFD8">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投标人全称（加盖公章）：</w:t>
      </w:r>
    </w:p>
    <w:p w14:paraId="540583A5">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项目名称：</w:t>
      </w:r>
    </w:p>
    <w:p w14:paraId="5EB0836A">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p>
    <w:p w14:paraId="2D6D2E5A">
      <w:pPr>
        <w:pStyle w:val="278"/>
        <w:spacing w:line="300" w:lineRule="auto"/>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分包号：</w:t>
      </w:r>
    </w:p>
    <w:p w14:paraId="1ED257F1">
      <w:pPr>
        <w:pStyle w:val="278"/>
        <w:spacing w:line="300" w:lineRule="auto"/>
        <w:ind w:left="0" w:firstLine="0"/>
        <w:rPr>
          <w:rFonts w:hint="eastAsia" w:ascii="宋体" w:hAnsi="宋体" w:eastAsia="宋体" w:cs="宋体"/>
          <w:color w:val="auto"/>
          <w:sz w:val="28"/>
          <w:szCs w:val="28"/>
          <w:highlight w:val="none"/>
        </w:rPr>
      </w:pPr>
    </w:p>
    <w:p w14:paraId="379C434F">
      <w:pPr>
        <w:pStyle w:val="278"/>
        <w:spacing w:line="240" w:lineRule="auto"/>
        <w:ind w:firstLine="440"/>
        <w:rPr>
          <w:rFonts w:hint="eastAsia" w:ascii="宋体" w:hAnsi="宋体" w:eastAsia="宋体" w:cs="宋体"/>
          <w:bCs/>
          <w:color w:val="auto"/>
          <w:sz w:val="22"/>
          <w:szCs w:val="22"/>
          <w:highlight w:val="none"/>
        </w:rPr>
      </w:pPr>
    </w:p>
    <w:p w14:paraId="06913C02">
      <w:pPr>
        <w:pStyle w:val="278"/>
        <w:spacing w:line="240" w:lineRule="auto"/>
        <w:ind w:firstLine="440"/>
        <w:rPr>
          <w:rFonts w:hint="default" w:ascii="宋体" w:hAnsi="宋体" w:eastAsia="宋体" w:cs="宋体"/>
          <w:bCs/>
          <w:color w:val="auto"/>
          <w:sz w:val="22"/>
          <w:szCs w:val="22"/>
          <w:highlight w:val="none"/>
        </w:rPr>
      </w:pPr>
    </w:p>
    <w:p w14:paraId="39E59FFF">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br w:type="page" w:clear="all"/>
      </w:r>
    </w:p>
    <w:p w14:paraId="3ED3C0CE">
      <w:pPr>
        <w:keepNext w:val="0"/>
        <w:keepLines w:val="0"/>
        <w:widowControl/>
        <w:suppressLineNumbers w:val="0"/>
        <w:spacing w:before="0" w:beforeAutospacing="1" w:after="0" w:afterAutospacing="1" w:line="500" w:lineRule="atLeast"/>
        <w:ind w:left="0" w:right="0"/>
        <w:jc w:val="left"/>
        <w:rPr>
          <w:rFonts w:hint="eastAsia" w:ascii="宋体" w:hAnsi="宋体" w:eastAsia="宋体" w:cs="宋体"/>
          <w:b/>
          <w:bCs/>
          <w:color w:val="auto"/>
          <w:sz w:val="32"/>
          <w:szCs w:val="32"/>
          <w:highlight w:val="none"/>
        </w:rPr>
      </w:pPr>
      <w:r>
        <w:rPr>
          <w:rFonts w:hint="eastAsia" w:ascii="宋体" w:hAnsi="宋体" w:eastAsia="宋体" w:cs="宋体"/>
          <w:b/>
          <w:color w:val="auto"/>
          <w:sz w:val="30"/>
          <w:szCs w:val="30"/>
          <w:highlight w:val="none"/>
        </w:rPr>
        <w:t>附件</w:t>
      </w:r>
      <w:r>
        <w:rPr>
          <w:rFonts w:hint="eastAsia" w:ascii="宋体" w:hAnsi="宋体" w:cs="宋体"/>
          <w:b/>
          <w:color w:val="auto"/>
          <w:sz w:val="30"/>
          <w:szCs w:val="30"/>
          <w:highlight w:val="none"/>
          <w:lang w:val="en-US" w:eastAsia="zh-CN"/>
        </w:rPr>
        <w:t>9</w:t>
      </w:r>
    </w:p>
    <w:p w14:paraId="005CAF3F">
      <w:pPr>
        <w:keepNext w:val="0"/>
        <w:keepLines w:val="0"/>
        <w:widowControl/>
        <w:suppressLineNumbers w:val="0"/>
        <w:spacing w:before="0" w:beforeAutospacing="1" w:after="0" w:afterAutospacing="1" w:line="500" w:lineRule="atLeast"/>
        <w:ind w:left="0" w:right="0"/>
        <w:jc w:val="center"/>
        <w:rPr>
          <w:rFonts w:hint="eastAsia" w:ascii="宋体" w:hAnsi="宋体" w:eastAsia="宋体" w:cs="宋体"/>
          <w:b/>
          <w:bCs w:val="0"/>
          <w:color w:val="auto"/>
          <w:sz w:val="30"/>
          <w:szCs w:val="30"/>
          <w:highlight w:val="none"/>
        </w:rPr>
      </w:pPr>
      <w:r>
        <w:rPr>
          <w:rFonts w:hint="eastAsia" w:ascii="宋体" w:hAnsi="宋体" w:eastAsia="宋体" w:cs="宋体"/>
          <w:b/>
          <w:bCs/>
          <w:color w:val="auto"/>
          <w:sz w:val="32"/>
          <w:szCs w:val="32"/>
          <w:highlight w:val="none"/>
          <w:lang w:val="en-US" w:eastAsia="zh-CN" w:bidi="ar"/>
        </w:rPr>
        <w:t>报价总表</w:t>
      </w:r>
      <w:r>
        <w:rPr>
          <w:rFonts w:hint="eastAsia" w:ascii="宋体" w:hAnsi="宋体" w:eastAsia="宋体" w:cs="宋体"/>
          <w:b/>
          <w:bCs w:val="0"/>
          <w:color w:val="auto"/>
          <w:sz w:val="32"/>
          <w:szCs w:val="32"/>
          <w:highlight w:val="none"/>
          <w:lang w:val="en-US" w:eastAsia="zh-CN" w:bidi="ar"/>
        </w:rPr>
        <w:t>（</w:t>
      </w:r>
      <w:r>
        <w:rPr>
          <w:rFonts w:hint="eastAsia" w:ascii="宋体" w:hAnsi="宋体" w:cs="宋体"/>
          <w:b/>
          <w:bCs w:val="0"/>
          <w:color w:val="auto"/>
          <w:sz w:val="32"/>
          <w:szCs w:val="32"/>
          <w:highlight w:val="none"/>
          <w:lang w:val="en-US" w:eastAsia="zh-CN" w:bidi="ar"/>
        </w:rPr>
        <w:t>最终</w:t>
      </w:r>
      <w:r>
        <w:rPr>
          <w:rFonts w:hint="eastAsia" w:ascii="宋体" w:hAnsi="宋体" w:eastAsia="宋体" w:cs="宋体"/>
          <w:b/>
          <w:bCs w:val="0"/>
          <w:color w:val="auto"/>
          <w:sz w:val="30"/>
          <w:szCs w:val="30"/>
          <w:highlight w:val="none"/>
          <w:lang w:val="en-US" w:eastAsia="zh-CN" w:bidi="ar"/>
        </w:rPr>
        <w:t>）</w:t>
      </w:r>
    </w:p>
    <w:p w14:paraId="3F14D1D4">
      <w:pPr>
        <w:rPr>
          <w:rFonts w:hint="eastAsia" w:ascii="宋体" w:hAnsi="宋体" w:eastAsia="宋体" w:cs="宋体"/>
          <w:color w:val="auto"/>
          <w:sz w:val="28"/>
          <w:szCs w:val="28"/>
          <w:highlight w:val="none"/>
          <w:u w:val="single"/>
        </w:rPr>
      </w:pPr>
      <w:r>
        <w:rPr>
          <w:rFonts w:hint="eastAsia" w:ascii="宋体" w:hAnsi="宋体" w:cs="宋体"/>
          <w:color w:val="auto"/>
          <w:sz w:val="28"/>
          <w:szCs w:val="28"/>
          <w:highlight w:val="none"/>
          <w:lang w:val="en-US" w:eastAsia="zh-CN"/>
        </w:rPr>
        <w:t>响应供应商</w:t>
      </w:r>
      <w:r>
        <w:rPr>
          <w:rFonts w:hint="eastAsia" w:ascii="宋体" w:hAnsi="宋体" w:eastAsia="宋体" w:cs="宋体"/>
          <w:color w:val="auto"/>
          <w:sz w:val="28"/>
          <w:szCs w:val="28"/>
          <w:highlight w:val="none"/>
        </w:rPr>
        <w:t>全称（加盖公章）：</w:t>
      </w:r>
    </w:p>
    <w:p w14:paraId="7D6AAB87">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项目名称：</w:t>
      </w:r>
    </w:p>
    <w:p w14:paraId="6FCC1B35">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p>
    <w:p w14:paraId="3947FE37">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分包号：</w:t>
      </w:r>
    </w:p>
    <w:tbl>
      <w:tblPr>
        <w:tblStyle w:val="32"/>
        <w:tblW w:w="9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7"/>
        <w:gridCol w:w="4981"/>
      </w:tblGrid>
      <w:tr w14:paraId="63E1D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37" w:type="dxa"/>
            <w:noWrap w:val="0"/>
            <w:vAlign w:val="top"/>
          </w:tcPr>
          <w:p w14:paraId="1F56452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Cs w:val="22"/>
                <w:highlight w:val="none"/>
              </w:rPr>
            </w:pPr>
            <w:r>
              <w:rPr>
                <w:rFonts w:hint="eastAsia" w:ascii="宋体" w:hAnsi="宋体" w:cs="宋体"/>
                <w:b/>
                <w:bCs/>
                <w:color w:val="auto"/>
                <w:sz w:val="28"/>
                <w:szCs w:val="28"/>
                <w:highlight w:val="none"/>
                <w:lang w:val="en-US" w:eastAsia="zh-CN"/>
              </w:rPr>
              <w:t>项目</w:t>
            </w:r>
            <w:r>
              <w:rPr>
                <w:rFonts w:hint="eastAsia" w:ascii="宋体" w:hAnsi="宋体" w:eastAsia="宋体" w:cs="宋体"/>
                <w:b/>
                <w:bCs/>
                <w:color w:val="auto"/>
                <w:sz w:val="28"/>
                <w:szCs w:val="28"/>
                <w:highlight w:val="none"/>
              </w:rPr>
              <w:t>名称</w:t>
            </w:r>
          </w:p>
        </w:tc>
        <w:tc>
          <w:tcPr>
            <w:tcW w:w="4981" w:type="dxa"/>
            <w:noWrap w:val="0"/>
            <w:vAlign w:val="top"/>
          </w:tcPr>
          <w:p w14:paraId="7A04F93C">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Cs w:val="22"/>
                <w:highlight w:val="none"/>
              </w:rPr>
            </w:pPr>
            <w:r>
              <w:rPr>
                <w:rFonts w:hint="eastAsia" w:ascii="宋体" w:hAnsi="宋体" w:eastAsia="宋体" w:cs="宋体"/>
                <w:b/>
                <w:bCs/>
                <w:color w:val="auto"/>
                <w:sz w:val="28"/>
                <w:szCs w:val="28"/>
                <w:highlight w:val="none"/>
              </w:rPr>
              <w:t>投标总报价</w:t>
            </w:r>
          </w:p>
        </w:tc>
      </w:tr>
      <w:tr w14:paraId="712BC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4737" w:type="dxa"/>
            <w:noWrap w:val="0"/>
            <w:vAlign w:val="top"/>
          </w:tcPr>
          <w:p w14:paraId="71B0DBDD">
            <w:pPr>
              <w:keepNext w:val="0"/>
              <w:keepLines w:val="0"/>
              <w:suppressLineNumbers w:val="0"/>
              <w:spacing w:before="0" w:beforeAutospacing="0" w:after="0" w:afterAutospacing="0" w:line="360" w:lineRule="auto"/>
              <w:ind w:left="0" w:right="0"/>
              <w:rPr>
                <w:rFonts w:hint="eastAsia" w:ascii="宋体" w:hAnsi="宋体" w:eastAsia="宋体" w:cs="宋体"/>
                <w:color w:val="auto"/>
                <w:sz w:val="20"/>
                <w:szCs w:val="21"/>
                <w:highlight w:val="none"/>
              </w:rPr>
            </w:pPr>
            <w:r>
              <w:rPr>
                <w:rFonts w:hint="eastAsia" w:ascii="宋体" w:hAnsi="宋体" w:cs="宋体"/>
                <w:color w:val="auto"/>
                <w:sz w:val="24"/>
                <w:szCs w:val="24"/>
                <w:highlight w:val="none"/>
                <w:lang w:val="en-US" w:eastAsia="zh-CN"/>
              </w:rPr>
              <w:t>南通市城市照明管理处路灯主材（PE管）项目（二次）</w:t>
            </w:r>
          </w:p>
        </w:tc>
        <w:tc>
          <w:tcPr>
            <w:tcW w:w="4981" w:type="dxa"/>
            <w:noWrap w:val="0"/>
            <w:vAlign w:val="top"/>
          </w:tcPr>
          <w:p w14:paraId="256257E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p w14:paraId="35752C88">
            <w:pPr>
              <w:keepNext w:val="0"/>
              <w:keepLines w:val="0"/>
              <w:suppressLineNumbers w:val="0"/>
              <w:spacing w:before="0" w:beforeAutospacing="0" w:after="0" w:afterAutospacing="0" w:line="360" w:lineRule="auto"/>
              <w:ind w:left="0" w:right="0"/>
              <w:rPr>
                <w:rFonts w:hint="eastAsia" w:ascii="宋体" w:hAnsi="宋体" w:eastAsia="宋体" w:cs="宋体"/>
                <w:color w:val="auto"/>
                <w:sz w:val="20"/>
                <w:szCs w:val="21"/>
                <w:highlight w:val="none"/>
                <w:u w:val="single"/>
              </w:rPr>
            </w:pPr>
            <w:r>
              <w:rPr>
                <w:rFonts w:hint="eastAsia" w:ascii="宋体" w:hAnsi="宋体" w:eastAsia="宋体" w:cs="宋体"/>
                <w:color w:val="auto"/>
                <w:sz w:val="24"/>
                <w:szCs w:val="24"/>
                <w:highlight w:val="none"/>
              </w:rPr>
              <w:t>小写：元（人民币）</w:t>
            </w:r>
          </w:p>
        </w:tc>
      </w:tr>
    </w:tbl>
    <w:p w14:paraId="74811B15">
      <w:pPr>
        <w:pStyle w:val="38"/>
        <w:rPr>
          <w:rFonts w:hint="eastAsia"/>
          <w:color w:val="auto"/>
          <w:highlight w:val="none"/>
        </w:rPr>
      </w:pPr>
    </w:p>
    <w:p w14:paraId="07DA2CCA">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p>
    <w:p w14:paraId="6C37DAEF">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填写说明：</w:t>
      </w:r>
    </w:p>
    <w:p w14:paraId="185EC85D">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报价总表</w:t>
      </w:r>
      <w:r>
        <w:rPr>
          <w:rFonts w:hint="eastAsia" w:ascii="宋体" w:hAnsi="宋体" w:eastAsia="宋体" w:cs="宋体"/>
          <w:color w:val="auto"/>
          <w:sz w:val="28"/>
          <w:szCs w:val="28"/>
          <w:highlight w:val="none"/>
        </w:rPr>
        <w:t>必须加盖</w:t>
      </w:r>
      <w:r>
        <w:rPr>
          <w:rFonts w:hint="eastAsia" w:ascii="宋体" w:hAnsi="宋体" w:cs="宋体"/>
          <w:color w:val="auto"/>
          <w:sz w:val="28"/>
          <w:szCs w:val="28"/>
          <w:highlight w:val="none"/>
          <w:lang w:val="en-US" w:eastAsia="zh-CN"/>
        </w:rPr>
        <w:t>响应供应商</w:t>
      </w:r>
      <w:r>
        <w:rPr>
          <w:rFonts w:hint="eastAsia" w:ascii="宋体" w:hAnsi="宋体" w:eastAsia="宋体" w:cs="宋体"/>
          <w:color w:val="auto"/>
          <w:sz w:val="28"/>
          <w:szCs w:val="28"/>
          <w:highlight w:val="none"/>
        </w:rPr>
        <w:t>公章（复印件无效）。</w:t>
      </w:r>
    </w:p>
    <w:p w14:paraId="60350F9A">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2、如有分包，投标人投任何一个包的标的，都需单独填写开标一览表。</w:t>
      </w:r>
    </w:p>
    <w:p w14:paraId="6B79D588">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3、投标报价最多保留小数点后两位</w:t>
      </w:r>
      <w:r>
        <w:rPr>
          <w:rFonts w:hint="eastAsia" w:ascii="宋体" w:hAnsi="宋体" w:cs="宋体"/>
          <w:color w:val="auto"/>
          <w:sz w:val="28"/>
          <w:szCs w:val="28"/>
          <w:highlight w:val="none"/>
          <w:lang w:val="en-US" w:eastAsia="zh-CN"/>
        </w:rPr>
        <w:t>。</w:t>
      </w:r>
    </w:p>
    <w:p w14:paraId="50EF00B5">
      <w:pPr>
        <w:spacing w:line="400" w:lineRule="exact"/>
        <w:ind w:firstLine="540"/>
        <w:contextualSpacing/>
        <w:rPr>
          <w:rFonts w:hint="eastAsia" w:ascii="宋体" w:hAnsi="宋体" w:eastAsia="宋体" w:cs="宋体"/>
          <w:b/>
          <w:color w:val="auto"/>
          <w:sz w:val="28"/>
          <w:szCs w:val="28"/>
          <w:highlight w:val="none"/>
        </w:rPr>
      </w:pPr>
    </w:p>
    <w:p w14:paraId="2D9EDC00">
      <w:pPr>
        <w:spacing w:line="400" w:lineRule="exact"/>
        <w:ind w:firstLine="540"/>
        <w:contextualSpacing/>
        <w:rPr>
          <w:rFonts w:hint="eastAsia" w:ascii="宋体" w:hAnsi="宋体" w:eastAsia="宋体" w:cs="宋体"/>
          <w:b/>
          <w:color w:val="auto"/>
          <w:sz w:val="28"/>
          <w:szCs w:val="28"/>
          <w:highlight w:val="none"/>
        </w:rPr>
      </w:pPr>
    </w:p>
    <w:p w14:paraId="4A99F08B">
      <w:pPr>
        <w:spacing w:line="400" w:lineRule="exact"/>
        <w:ind w:firstLine="540"/>
        <w:contextualSpacing/>
        <w:rPr>
          <w:rFonts w:hint="eastAsia" w:ascii="宋体" w:hAnsi="宋体" w:eastAsia="宋体" w:cs="宋体"/>
          <w:b/>
          <w:color w:val="auto"/>
          <w:sz w:val="28"/>
          <w:szCs w:val="28"/>
          <w:highlight w:val="none"/>
        </w:rPr>
      </w:pPr>
    </w:p>
    <w:p w14:paraId="65075185">
      <w:pPr>
        <w:spacing w:line="400" w:lineRule="exact"/>
        <w:contextualSpacing/>
        <w:rPr>
          <w:rFonts w:hint="eastAsia" w:ascii="宋体" w:hAnsi="宋体" w:eastAsia="宋体" w:cs="宋体"/>
          <w:color w:val="auto"/>
          <w:sz w:val="28"/>
          <w:szCs w:val="28"/>
          <w:highlight w:val="none"/>
        </w:rPr>
      </w:pPr>
    </w:p>
    <w:p w14:paraId="4E4180C1">
      <w:pPr>
        <w:pStyle w:val="14"/>
        <w:spacing w:before="65" w:line="221" w:lineRule="auto"/>
        <w:ind w:left="107"/>
        <w:rPr>
          <w:rFonts w:hint="default" w:ascii="宋体" w:hAnsi="宋体" w:eastAsia="宋体" w:cs="宋体"/>
          <w:b/>
          <w:color w:val="auto"/>
          <w:sz w:val="30"/>
          <w:szCs w:val="30"/>
          <w:highlight w:val="none"/>
        </w:rPr>
      </w:pPr>
      <w:r>
        <w:rPr>
          <w:rFonts w:hint="eastAsia" w:ascii="宋体" w:hAnsi="宋体" w:eastAsia="宋体" w:cs="宋体"/>
          <w:b/>
          <w:bCs/>
          <w:color w:val="auto"/>
          <w:sz w:val="32"/>
          <w:szCs w:val="32"/>
          <w:highlight w:val="none"/>
        </w:rPr>
        <w:br w:type="page" w:clear="all"/>
      </w:r>
    </w:p>
    <w:p w14:paraId="4CF9A03C">
      <w:pPr>
        <w:rPr>
          <w:rFonts w:hint="eastAsia" w:ascii="宋体" w:hAnsi="宋体" w:eastAsia="宋体" w:cs="宋体"/>
          <w:b/>
          <w:bCs/>
          <w:color w:val="auto"/>
          <w:sz w:val="32"/>
          <w:szCs w:val="32"/>
          <w:highlight w:val="none"/>
        </w:rPr>
      </w:pPr>
    </w:p>
    <w:p w14:paraId="4B08384B">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bCs w:val="0"/>
          <w:color w:val="auto"/>
          <w:sz w:val="30"/>
          <w:szCs w:val="30"/>
          <w:highlight w:val="none"/>
        </w:rPr>
      </w:pPr>
      <w:r>
        <w:rPr>
          <w:rFonts w:hint="eastAsia" w:ascii="宋体" w:hAnsi="宋体" w:eastAsia="宋体" w:cs="宋体"/>
          <w:b/>
          <w:bCs/>
          <w:color w:val="auto"/>
          <w:sz w:val="32"/>
          <w:szCs w:val="32"/>
          <w:highlight w:val="none"/>
          <w:lang w:val="en-US" w:eastAsia="zh-CN" w:bidi="ar"/>
        </w:rPr>
        <w:t>分项报价明细表</w:t>
      </w:r>
      <w:r>
        <w:rPr>
          <w:rFonts w:hint="eastAsia" w:ascii="宋体" w:hAnsi="宋体" w:eastAsia="宋体" w:cs="宋体"/>
          <w:b/>
          <w:bCs w:val="0"/>
          <w:color w:val="auto"/>
          <w:sz w:val="32"/>
          <w:szCs w:val="32"/>
          <w:highlight w:val="none"/>
          <w:lang w:val="en-US" w:eastAsia="zh-CN" w:bidi="ar"/>
        </w:rPr>
        <w:t>（</w:t>
      </w:r>
      <w:r>
        <w:rPr>
          <w:rFonts w:hint="eastAsia" w:ascii="宋体" w:hAnsi="宋体" w:cs="宋体"/>
          <w:b/>
          <w:bCs w:val="0"/>
          <w:color w:val="auto"/>
          <w:sz w:val="32"/>
          <w:szCs w:val="32"/>
          <w:highlight w:val="none"/>
          <w:lang w:val="en-US" w:eastAsia="zh-CN" w:bidi="ar"/>
        </w:rPr>
        <w:t>最终</w:t>
      </w:r>
      <w:r>
        <w:rPr>
          <w:rFonts w:hint="eastAsia" w:ascii="宋体" w:hAnsi="宋体" w:eastAsia="宋体" w:cs="宋体"/>
          <w:b/>
          <w:bCs w:val="0"/>
          <w:color w:val="auto"/>
          <w:sz w:val="30"/>
          <w:szCs w:val="30"/>
          <w:highlight w:val="none"/>
          <w:lang w:val="en-US" w:eastAsia="zh-CN" w:bidi="ar"/>
        </w:rPr>
        <w:t>）</w:t>
      </w:r>
    </w:p>
    <w:p w14:paraId="79D1FB16">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投标人全称（加盖公章）：</w:t>
      </w:r>
    </w:p>
    <w:p w14:paraId="781620DE">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项目名称：</w:t>
      </w:r>
    </w:p>
    <w:p w14:paraId="4CF628EA">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p>
    <w:p w14:paraId="48430161">
      <w:pPr>
        <w:pStyle w:val="278"/>
        <w:spacing w:line="300" w:lineRule="auto"/>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分包号：</w:t>
      </w:r>
    </w:p>
    <w:p w14:paraId="534886A5">
      <w:pPr>
        <w:pStyle w:val="278"/>
        <w:spacing w:line="240" w:lineRule="auto"/>
        <w:ind w:firstLine="440"/>
        <w:rPr>
          <w:rFonts w:hint="default" w:ascii="宋体" w:hAnsi="宋体" w:eastAsia="宋体" w:cs="宋体"/>
          <w:bCs/>
          <w:color w:val="auto"/>
          <w:sz w:val="22"/>
          <w:szCs w:val="22"/>
          <w:highlight w:val="none"/>
        </w:rPr>
      </w:pPr>
    </w:p>
    <w:p w14:paraId="0B9074FF">
      <w:pPr>
        <w:pStyle w:val="14"/>
        <w:spacing w:before="65" w:line="221" w:lineRule="auto"/>
        <w:rPr>
          <w:rFonts w:hint="default"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br w:type="page" w:clear="all"/>
      </w:r>
      <w:r>
        <w:rPr>
          <w:rFonts w:hint="eastAsia" w:ascii="宋体" w:hAnsi="宋体" w:eastAsia="宋体" w:cs="宋体"/>
          <w:b/>
          <w:color w:val="auto"/>
          <w:sz w:val="30"/>
          <w:szCs w:val="30"/>
          <w:highlight w:val="none"/>
          <w:lang w:val="en-US" w:eastAsia="zh-CN"/>
        </w:rPr>
        <w:t>附件1</w:t>
      </w:r>
      <w:r>
        <w:rPr>
          <w:rFonts w:hint="eastAsia" w:ascii="宋体" w:hAnsi="宋体" w:cs="宋体"/>
          <w:b/>
          <w:color w:val="auto"/>
          <w:sz w:val="30"/>
          <w:szCs w:val="30"/>
          <w:highlight w:val="none"/>
          <w:lang w:val="en-US" w:eastAsia="zh-CN"/>
        </w:rPr>
        <w:t>0</w:t>
      </w:r>
    </w:p>
    <w:p w14:paraId="50BBCA79">
      <w:pPr>
        <w:jc w:val="center"/>
        <w:rPr>
          <w:rFonts w:ascii="宋体" w:hAnsi="宋体" w:cs="仿宋"/>
          <w:b/>
          <w:bCs/>
          <w:color w:val="auto"/>
          <w:sz w:val="32"/>
          <w:szCs w:val="32"/>
          <w:highlight w:val="none"/>
        </w:rPr>
      </w:pPr>
      <w:bookmarkStart w:id="103" w:name="_Toc120614284"/>
      <w:r>
        <w:rPr>
          <w:rFonts w:hint="eastAsia" w:ascii="宋体" w:hAnsi="宋体" w:cs="仿宋"/>
          <w:b/>
          <w:bCs/>
          <w:color w:val="auto"/>
          <w:sz w:val="32"/>
          <w:szCs w:val="32"/>
          <w:highlight w:val="none"/>
        </w:rPr>
        <w:t>质疑函范本</w:t>
      </w:r>
    </w:p>
    <w:p w14:paraId="63ACD028">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一、质疑</w:t>
      </w:r>
      <w:r>
        <w:rPr>
          <w:rFonts w:hint="eastAsia" w:ascii="宋体" w:hAnsi="宋体" w:cs="仿宋"/>
          <w:bCs/>
          <w:color w:val="auto"/>
          <w:sz w:val="24"/>
          <w:szCs w:val="24"/>
          <w:highlight w:val="none"/>
          <w:lang w:eastAsia="zh-CN"/>
        </w:rPr>
        <w:t>投标人</w:t>
      </w:r>
      <w:r>
        <w:rPr>
          <w:rFonts w:hint="eastAsia" w:ascii="宋体" w:hAnsi="宋体" w:cs="仿宋"/>
          <w:bCs/>
          <w:color w:val="auto"/>
          <w:sz w:val="24"/>
          <w:szCs w:val="24"/>
          <w:highlight w:val="none"/>
        </w:rPr>
        <w:t>基本信息</w:t>
      </w:r>
    </w:p>
    <w:p w14:paraId="1323430D">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w:t>
      </w:r>
      <w:r>
        <w:rPr>
          <w:rFonts w:hint="eastAsia" w:ascii="宋体" w:hAnsi="宋体" w:cs="仿宋"/>
          <w:color w:val="auto"/>
          <w:sz w:val="24"/>
          <w:szCs w:val="24"/>
          <w:highlight w:val="none"/>
          <w:lang w:eastAsia="zh-CN"/>
        </w:rPr>
        <w:t>投标人</w:t>
      </w:r>
      <w:r>
        <w:rPr>
          <w:rFonts w:hint="eastAsia" w:ascii="宋体" w:hAnsi="宋体" w:cs="仿宋"/>
          <w:color w:val="auto"/>
          <w:sz w:val="24"/>
          <w:szCs w:val="24"/>
          <w:highlight w:val="none"/>
        </w:rPr>
        <w:t>：</w:t>
      </w:r>
      <w:r>
        <w:rPr>
          <w:rFonts w:hint="eastAsia" w:ascii="宋体" w:hAnsi="宋体" w:cs="仿宋"/>
          <w:color w:val="auto"/>
          <w:sz w:val="24"/>
          <w:szCs w:val="24"/>
          <w:highlight w:val="none"/>
          <w:u w:val="single"/>
        </w:rPr>
        <w:t xml:space="preserve">                                                              </w:t>
      </w:r>
    </w:p>
    <w:p w14:paraId="740781B0">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058047EE">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223AE95B">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3E3C46FF">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00036361">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2EAAD5F3">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3B9EE360">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1481CE4E">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1B2F6044">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1D9C2B25">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29ACC154">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493844A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0224F929">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1DAD1C11">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026B821D">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56AD0D85">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18A5E804">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3062A944">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696DC3C4">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665B27B2">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7BE7A4CD">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2449C3EC">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6356F876">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1B55482B">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提出质疑时，应提交质疑函和必要的证明材料。</w:t>
      </w:r>
    </w:p>
    <w:p w14:paraId="592D98F6">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若委托代理人进行质疑的，质疑函应按要求列明“授权代表”的有关内容，并在附件中提交由质疑</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签署的授权委托书。授权委托书应载明代理人的姓名或者名称、代理事项、具体权限、期限和相关事项。</w:t>
      </w:r>
    </w:p>
    <w:p w14:paraId="7A464876">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若对项目的某一分包进行质疑，质疑函中应列明具体分包号。</w:t>
      </w:r>
    </w:p>
    <w:p w14:paraId="0FBCF57F">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5D1F8FF4">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3D9B4365">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6.质疑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为自然人的，质疑函应由本人签字；质疑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为法人或者其他组织的，质疑函应由法定代表人、主要负责人，或者其授权代表签字或者盖章，并加盖公章。</w:t>
      </w:r>
    </w:p>
    <w:p w14:paraId="7EC33673">
      <w:pPr>
        <w:pStyle w:val="31"/>
        <w:ind w:firstLine="0"/>
        <w:rPr>
          <w:rFonts w:hint="eastAsia"/>
          <w:color w:val="auto"/>
          <w:highlight w:val="none"/>
        </w:rPr>
      </w:pPr>
    </w:p>
    <w:p w14:paraId="6627A0A6">
      <w:pPr>
        <w:pStyle w:val="12"/>
        <w:ind w:firstLine="0"/>
        <w:rPr>
          <w:rFonts w:hint="eastAsia"/>
          <w:color w:val="auto"/>
          <w:sz w:val="24"/>
          <w:szCs w:val="24"/>
          <w:highlight w:val="none"/>
        </w:rPr>
      </w:pPr>
    </w:p>
    <w:bookmarkEnd w:id="103"/>
    <w:p w14:paraId="086DC8A5">
      <w:pPr>
        <w:pStyle w:val="12"/>
        <w:ind w:firstLine="0"/>
        <w:rPr>
          <w:rFonts w:hint="eastAsia"/>
          <w:color w:val="auto"/>
          <w:sz w:val="24"/>
          <w:szCs w:val="24"/>
          <w:highlight w:val="none"/>
        </w:rPr>
      </w:pPr>
    </w:p>
    <w:p w14:paraId="74B4FBF3">
      <w:pPr>
        <w:pStyle w:val="31"/>
        <w:ind w:firstLine="0"/>
        <w:jc w:val="left"/>
        <w:rPr>
          <w:rFonts w:hint="eastAsia"/>
          <w:color w:val="auto"/>
          <w:highlight w:val="none"/>
        </w:rPr>
      </w:pPr>
    </w:p>
    <w:p w14:paraId="7C40CD7B">
      <w:pPr>
        <w:rPr>
          <w:color w:val="auto"/>
          <w:highlight w:val="none"/>
        </w:rPr>
      </w:pPr>
    </w:p>
    <w:p w14:paraId="6850C034">
      <w:pPr>
        <w:spacing w:line="460" w:lineRule="exact"/>
        <w:ind w:firstLine="480"/>
        <w:rPr>
          <w:rFonts w:hint="eastAsia" w:ascii="宋体" w:hAnsi="宋体" w:eastAsia="宋体" w:cs="宋体"/>
          <w:color w:val="auto"/>
          <w:sz w:val="24"/>
          <w:szCs w:val="24"/>
          <w:highlight w:val="none"/>
        </w:rPr>
      </w:pPr>
    </w:p>
    <w:p w14:paraId="225A7D1E">
      <w:pPr>
        <w:rPr>
          <w:rFonts w:hint="eastAsia" w:ascii="宋体" w:hAnsi="宋体" w:eastAsia="宋体" w:cs="宋体"/>
          <w:bCs/>
          <w:color w:val="auto"/>
          <w:sz w:val="28"/>
          <w:szCs w:val="28"/>
          <w:highlight w:val="none"/>
        </w:rPr>
      </w:pPr>
    </w:p>
    <w:sectPr>
      <w:footerReference r:id="rId7" w:type="first"/>
      <w:footerReference r:id="rId6" w:type="default"/>
      <w:pgSz w:w="11906" w:h="16838"/>
      <w:pgMar w:top="1417" w:right="1417" w:bottom="1417" w:left="1417" w:header="851" w:footer="992"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17EFA">
    <w:pPr>
      <w:pStyle w:val="108"/>
      <w:tabs>
        <w:tab w:val="center" w:pos="4535"/>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45075">
    <w:pPr>
      <w:pStyle w:val="108"/>
      <w:jc w:val="center"/>
      <w:rPr>
        <w:rFonts w:hint="eastAsia" w:ascii="仿宋" w:hAnsi="仿宋" w:eastAsia="仿宋"/>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750EF">
    <w:pPr>
      <w:pStyle w:val="108"/>
      <w:jc w:val="center"/>
      <w:rPr>
        <w:rFonts w:hint="eastAsia" w:ascii="仿宋" w:hAnsi="仿宋" w:eastAsia="仿宋"/>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3979FD3B">
                          <w:pPr>
                            <w:pStyle w:val="108"/>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4</w:t>
                          </w:r>
                          <w:r>
                            <w:rPr>
                              <w:sz w:val="21"/>
                              <w:szCs w:val="21"/>
                            </w:rPr>
                            <w:fldChar w:fldCharType="end"/>
                          </w:r>
                        </w:p>
                        <w:p w14:paraId="73C7C1F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3979FD3B">
                    <w:pPr>
                      <w:pStyle w:val="108"/>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4</w:t>
                    </w:r>
                    <w:r>
                      <w:rPr>
                        <w:sz w:val="21"/>
                        <w:szCs w:val="21"/>
                      </w:rPr>
                      <w:fldChar w:fldCharType="end"/>
                    </w:r>
                  </w:p>
                  <w:p w14:paraId="73C7C1F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6212A">
    <w:pPr>
      <w:pStyle w:val="10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626D993">
                          <w:pPr>
                            <w:pStyle w:val="108"/>
                            <w:tabs>
                              <w:tab w:val="clear" w:pos="4153"/>
                              <w:tab w:val="clear" w:pos="8306"/>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p w14:paraId="220FFC5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4626D993">
                    <w:pPr>
                      <w:pStyle w:val="108"/>
                      <w:tabs>
                        <w:tab w:val="clear" w:pos="4153"/>
                        <w:tab w:val="clear" w:pos="8306"/>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p w14:paraId="220FFC52"/>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D1FA6">
    <w:pPr>
      <w:pStyle w:val="110"/>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DC725E"/>
    <w:multiLevelType w:val="singleLevel"/>
    <w:tmpl w:val="A8DC725E"/>
    <w:lvl w:ilvl="0" w:tentative="0">
      <w:start w:val="5"/>
      <w:numFmt w:val="chineseCounting"/>
      <w:suff w:val="space"/>
      <w:lvlText w:val="第%1部分"/>
      <w:lvlJc w:val="left"/>
      <w:rPr>
        <w:rFonts w:hint="eastAsia"/>
      </w:rPr>
    </w:lvl>
  </w:abstractNum>
  <w:abstractNum w:abstractNumId="1">
    <w:nsid w:val="2EEE2FAB"/>
    <w:multiLevelType w:val="multilevel"/>
    <w:tmpl w:val="2EEE2FAB"/>
    <w:lvl w:ilvl="0" w:tentative="0">
      <w:start w:val="3"/>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5930C7"/>
    <w:rsid w:val="0B644F01"/>
    <w:rsid w:val="0B917147"/>
    <w:rsid w:val="12415971"/>
    <w:rsid w:val="194B0939"/>
    <w:rsid w:val="1EF54576"/>
    <w:rsid w:val="1FB84506"/>
    <w:rsid w:val="21A824CC"/>
    <w:rsid w:val="23B4750A"/>
    <w:rsid w:val="24225297"/>
    <w:rsid w:val="26217CFD"/>
    <w:rsid w:val="2FDE6C5E"/>
    <w:rsid w:val="40D76F3F"/>
    <w:rsid w:val="41304B0C"/>
    <w:rsid w:val="4D9F3A3B"/>
    <w:rsid w:val="5E8953EC"/>
    <w:rsid w:val="67531ADD"/>
    <w:rsid w:val="6F7E283A"/>
    <w:rsid w:val="7B0A19E1"/>
    <w:rsid w:val="7D1506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0"/>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jc w:val="left"/>
    </w:pPr>
    <w:rPr>
      <w:rFonts w:eastAsia="楷体_GB2312"/>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pPr>
      <w:spacing w:after="120"/>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68"/>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5"/>
    <w:qFormat/>
    <w:uiPriority w:val="11"/>
    <w:pPr>
      <w:spacing w:before="200" w:after="200"/>
    </w:pPr>
    <w:rPr>
      <w:sz w:val="24"/>
      <w:szCs w:val="24"/>
    </w:rPr>
  </w:style>
  <w:style w:type="paragraph" w:styleId="24">
    <w:name w:val="footnote text"/>
    <w:basedOn w:val="1"/>
    <w:link w:val="67"/>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semiHidden/>
    <w:qFormat/>
    <w:uiPriority w:val="99"/>
    <w:pPr>
      <w:widowControl/>
      <w:spacing w:before="100" w:beforeAutospacing="1" w:after="100" w:afterAutospacing="1"/>
      <w:jc w:val="left"/>
    </w:pPr>
    <w:rPr>
      <w:rFonts w:ascii="宋体" w:hAnsi="宋体" w:cs="宋体"/>
      <w:sz w:val="24"/>
      <w:szCs w:val="24"/>
    </w:rPr>
  </w:style>
  <w:style w:type="paragraph" w:styleId="30">
    <w:name w:val="Title"/>
    <w:basedOn w:val="1"/>
    <w:next w:val="1"/>
    <w:link w:val="44"/>
    <w:qFormat/>
    <w:uiPriority w:val="10"/>
    <w:pPr>
      <w:spacing w:before="300" w:after="200"/>
      <w:contextualSpacing/>
    </w:pPr>
    <w:rPr>
      <w:sz w:val="48"/>
      <w:szCs w:val="48"/>
    </w:rPr>
  </w:style>
  <w:style w:type="paragraph" w:styleId="31">
    <w:name w:val="Body Text First Indent"/>
    <w:basedOn w:val="14"/>
    <w:qFormat/>
    <w:uiPriority w:val="0"/>
    <w:pPr>
      <w:spacing w:line="360" w:lineRule="auto"/>
      <w:ind w:firstLine="482"/>
    </w:pPr>
    <w:rPr>
      <w:b/>
      <w:sz w:val="24"/>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段"/>
    <w:next w:val="1"/>
    <w:qFormat/>
    <w:uiPriority w:val="0"/>
    <w:pPr>
      <w:ind w:firstLine="200"/>
      <w:jc w:val="both"/>
    </w:pPr>
    <w:rPr>
      <w:rFonts w:hint="default" w:ascii="宋体" w:hAnsi="Calibri" w:eastAsia="宋体" w:cs="Times New Roman"/>
      <w:sz w:val="21"/>
      <w:lang w:val="en-US" w:eastAsia="zh-CN" w:bidi="ar-SA"/>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character" w:customStyle="1" w:styleId="44">
    <w:name w:val="Title Char"/>
    <w:link w:val="30"/>
    <w:qFormat/>
    <w:uiPriority w:val="10"/>
    <w:rPr>
      <w:sz w:val="48"/>
      <w:szCs w:val="48"/>
    </w:rPr>
  </w:style>
  <w:style w:type="character" w:customStyle="1" w:styleId="45">
    <w:name w:val="Subtitle Char"/>
    <w:link w:val="23"/>
    <w:qFormat/>
    <w:uiPriority w:val="11"/>
    <w:rPr>
      <w:sz w:val="24"/>
      <w:szCs w:val="24"/>
    </w:rPr>
  </w:style>
  <w:style w:type="character" w:customStyle="1" w:styleId="46">
    <w:name w:val="Quote Char"/>
    <w:qFormat/>
    <w:uiPriority w:val="29"/>
    <w:rPr>
      <w:i/>
    </w:rPr>
  </w:style>
  <w:style w:type="character" w:customStyle="1" w:styleId="47">
    <w:name w:val="Intense Quote Char"/>
    <w:qFormat/>
    <w:uiPriority w:val="30"/>
    <w:rPr>
      <w:i/>
    </w:rPr>
  </w:style>
  <w:style w:type="table" w:customStyle="1" w:styleId="4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67">
    <w:name w:val="Footnote Text Char"/>
    <w:link w:val="24"/>
    <w:qFormat/>
    <w:uiPriority w:val="99"/>
    <w:rPr>
      <w:sz w:val="18"/>
    </w:rPr>
  </w:style>
  <w:style w:type="character" w:customStyle="1" w:styleId="68">
    <w:name w:val="Endnote Text Char"/>
    <w:link w:val="18"/>
    <w:qFormat/>
    <w:uiPriority w:val="99"/>
    <w:rPr>
      <w:sz w:val="20"/>
    </w:rPr>
  </w:style>
  <w:style w:type="paragraph" w:customStyle="1" w:styleId="69">
    <w:name w:val="TOC Heading"/>
    <w:unhideWhenUsed/>
    <w:qFormat/>
    <w:uiPriority w:val="39"/>
    <w:rPr>
      <w:rFonts w:hint="default" w:ascii="Times New Roman" w:hAnsi="Times New Roman" w:eastAsia="宋体" w:cs="Times New Roman"/>
    </w:rPr>
  </w:style>
  <w:style w:type="paragraph" w:customStyle="1" w:styleId="70">
    <w:name w:val="标题 11"/>
    <w:basedOn w:val="1"/>
    <w:next w:val="1"/>
    <w:link w:val="81"/>
    <w:qFormat/>
    <w:uiPriority w:val="9"/>
    <w:pPr>
      <w:keepNext/>
      <w:keepLines/>
      <w:spacing w:before="340" w:after="330" w:line="578" w:lineRule="auto"/>
      <w:outlineLvl w:val="0"/>
    </w:pPr>
    <w:rPr>
      <w:b/>
      <w:bCs/>
      <w:sz w:val="44"/>
      <w:szCs w:val="44"/>
    </w:rPr>
  </w:style>
  <w:style w:type="paragraph" w:customStyle="1" w:styleId="71">
    <w:name w:val="标题 21"/>
    <w:basedOn w:val="1"/>
    <w:next w:val="1"/>
    <w:link w:val="82"/>
    <w:unhideWhenUsed/>
    <w:qFormat/>
    <w:uiPriority w:val="0"/>
    <w:pPr>
      <w:keepNext/>
      <w:keepLines/>
      <w:spacing w:before="260" w:after="260" w:line="416" w:lineRule="auto"/>
      <w:outlineLvl w:val="1"/>
    </w:pPr>
    <w:rPr>
      <w:rFonts w:ascii="Cambria" w:hAnsi="Cambria" w:eastAsia="黑体" w:cs="Times New Roman"/>
      <w:b/>
      <w:bCs/>
      <w:sz w:val="32"/>
      <w:szCs w:val="32"/>
    </w:rPr>
  </w:style>
  <w:style w:type="paragraph" w:customStyle="1" w:styleId="72">
    <w:name w:val="标题 31"/>
    <w:basedOn w:val="1"/>
    <w:next w:val="1"/>
    <w:link w:val="83"/>
    <w:unhideWhenUsed/>
    <w:qFormat/>
    <w:uiPriority w:val="0"/>
    <w:pPr>
      <w:keepNext/>
      <w:keepLines/>
      <w:spacing w:before="260" w:after="260" w:line="416" w:lineRule="auto"/>
      <w:outlineLvl w:val="2"/>
    </w:pPr>
    <w:rPr>
      <w:b/>
      <w:bCs/>
      <w:sz w:val="32"/>
      <w:szCs w:val="32"/>
    </w:rPr>
  </w:style>
  <w:style w:type="paragraph" w:customStyle="1" w:styleId="73">
    <w:name w:val="标题 41"/>
    <w:basedOn w:val="1"/>
    <w:next w:val="1"/>
    <w:link w:val="84"/>
    <w:unhideWhenUsed/>
    <w:qFormat/>
    <w:uiPriority w:val="9"/>
    <w:pPr>
      <w:keepNext/>
      <w:keepLines/>
      <w:spacing w:before="280" w:after="290" w:line="376" w:lineRule="auto"/>
      <w:outlineLvl w:val="3"/>
    </w:pPr>
    <w:rPr>
      <w:rFonts w:ascii="Cambria" w:hAnsi="Cambria" w:eastAsia="黑体" w:cs="Times New Roman"/>
      <w:b/>
      <w:bCs/>
      <w:sz w:val="28"/>
      <w:szCs w:val="28"/>
    </w:rPr>
  </w:style>
  <w:style w:type="paragraph" w:customStyle="1" w:styleId="74">
    <w:name w:val="标题 51"/>
    <w:basedOn w:val="1"/>
    <w:next w:val="1"/>
    <w:link w:val="85"/>
    <w:unhideWhenUsed/>
    <w:qFormat/>
    <w:uiPriority w:val="9"/>
    <w:pPr>
      <w:keepNext/>
      <w:keepLines/>
      <w:spacing w:before="320" w:after="200"/>
      <w:outlineLvl w:val="4"/>
    </w:pPr>
    <w:rPr>
      <w:rFonts w:ascii="Arial" w:hAnsi="Arial" w:eastAsia="Arial" w:cs="Arial"/>
      <w:b/>
      <w:bCs/>
      <w:sz w:val="24"/>
      <w:szCs w:val="24"/>
    </w:rPr>
  </w:style>
  <w:style w:type="paragraph" w:customStyle="1" w:styleId="75">
    <w:name w:val="标题 61"/>
    <w:basedOn w:val="1"/>
    <w:next w:val="1"/>
    <w:link w:val="86"/>
    <w:unhideWhenUsed/>
    <w:qFormat/>
    <w:uiPriority w:val="9"/>
    <w:pPr>
      <w:keepNext/>
      <w:keepLines/>
      <w:spacing w:before="320" w:after="200"/>
      <w:outlineLvl w:val="5"/>
    </w:pPr>
    <w:rPr>
      <w:rFonts w:ascii="Arial" w:hAnsi="Arial" w:eastAsia="Arial" w:cs="Arial"/>
      <w:b/>
      <w:bCs/>
      <w:sz w:val="22"/>
    </w:rPr>
  </w:style>
  <w:style w:type="paragraph" w:customStyle="1" w:styleId="76">
    <w:name w:val="标题 71"/>
    <w:basedOn w:val="1"/>
    <w:next w:val="1"/>
    <w:link w:val="87"/>
    <w:unhideWhenUsed/>
    <w:qFormat/>
    <w:uiPriority w:val="9"/>
    <w:pPr>
      <w:keepNext/>
      <w:keepLines/>
      <w:spacing w:before="320" w:after="200"/>
      <w:outlineLvl w:val="6"/>
    </w:pPr>
    <w:rPr>
      <w:rFonts w:ascii="Arial" w:hAnsi="Arial" w:eastAsia="Arial" w:cs="Arial"/>
      <w:b/>
      <w:bCs/>
      <w:i/>
      <w:iCs/>
      <w:sz w:val="22"/>
    </w:rPr>
  </w:style>
  <w:style w:type="paragraph" w:customStyle="1" w:styleId="77">
    <w:name w:val="标题 81"/>
    <w:basedOn w:val="1"/>
    <w:next w:val="1"/>
    <w:link w:val="88"/>
    <w:unhideWhenUsed/>
    <w:qFormat/>
    <w:uiPriority w:val="9"/>
    <w:pPr>
      <w:keepNext/>
      <w:keepLines/>
      <w:spacing w:before="320" w:after="200"/>
      <w:outlineLvl w:val="7"/>
    </w:pPr>
    <w:rPr>
      <w:rFonts w:ascii="Arial" w:hAnsi="Arial" w:eastAsia="Arial" w:cs="Arial"/>
      <w:i/>
      <w:iCs/>
      <w:sz w:val="22"/>
    </w:rPr>
  </w:style>
  <w:style w:type="paragraph" w:customStyle="1" w:styleId="78">
    <w:name w:val="标题 91"/>
    <w:basedOn w:val="1"/>
    <w:next w:val="1"/>
    <w:link w:val="89"/>
    <w:unhideWhenUsed/>
    <w:qFormat/>
    <w:uiPriority w:val="9"/>
    <w:pPr>
      <w:keepNext/>
      <w:keepLines/>
      <w:spacing w:before="320" w:after="200"/>
      <w:outlineLvl w:val="8"/>
    </w:pPr>
    <w:rPr>
      <w:rFonts w:ascii="Arial" w:hAnsi="Arial" w:eastAsia="Arial" w:cs="Arial"/>
      <w:i/>
      <w:iCs/>
      <w:szCs w:val="21"/>
    </w:rPr>
  </w:style>
  <w:style w:type="character" w:customStyle="1" w:styleId="79">
    <w:name w:val="默认段落字体1"/>
    <w:link w:val="1"/>
    <w:unhideWhenUsed/>
    <w:qFormat/>
    <w:uiPriority w:val="1"/>
  </w:style>
  <w:style w:type="table" w:customStyle="1" w:styleId="80">
    <w:name w:val="普通表格1"/>
    <w:unhideWhenUsed/>
    <w:qFormat/>
    <w:uiPriority w:val="99"/>
  </w:style>
  <w:style w:type="character" w:customStyle="1" w:styleId="81">
    <w:name w:val="标题 1 字符"/>
    <w:basedOn w:val="79"/>
    <w:link w:val="70"/>
    <w:qFormat/>
    <w:uiPriority w:val="9"/>
    <w:rPr>
      <w:b/>
      <w:bCs/>
      <w:sz w:val="44"/>
      <w:szCs w:val="44"/>
    </w:rPr>
  </w:style>
  <w:style w:type="character" w:customStyle="1" w:styleId="82">
    <w:name w:val="标题 2 字符"/>
    <w:basedOn w:val="79"/>
    <w:link w:val="71"/>
    <w:qFormat/>
    <w:uiPriority w:val="0"/>
    <w:rPr>
      <w:rFonts w:ascii="Cambria" w:hAnsi="Cambria" w:eastAsia="黑体" w:cs="Times New Roman"/>
      <w:b/>
      <w:bCs/>
      <w:sz w:val="32"/>
      <w:szCs w:val="32"/>
    </w:rPr>
  </w:style>
  <w:style w:type="character" w:customStyle="1" w:styleId="83">
    <w:name w:val="标题 3 字符"/>
    <w:basedOn w:val="79"/>
    <w:link w:val="72"/>
    <w:qFormat/>
    <w:uiPriority w:val="0"/>
    <w:rPr>
      <w:b/>
      <w:bCs/>
      <w:sz w:val="32"/>
      <w:szCs w:val="32"/>
    </w:rPr>
  </w:style>
  <w:style w:type="character" w:customStyle="1" w:styleId="84">
    <w:name w:val="标题 4 字符"/>
    <w:basedOn w:val="79"/>
    <w:link w:val="73"/>
    <w:semiHidden/>
    <w:qFormat/>
    <w:uiPriority w:val="9"/>
    <w:rPr>
      <w:rFonts w:ascii="Cambria" w:hAnsi="Cambria" w:eastAsia="黑体" w:cs="Times New Roman"/>
      <w:b/>
      <w:bCs/>
      <w:sz w:val="28"/>
      <w:szCs w:val="28"/>
    </w:rPr>
  </w:style>
  <w:style w:type="character" w:customStyle="1" w:styleId="85">
    <w:name w:val="标题 5 字符"/>
    <w:basedOn w:val="79"/>
    <w:link w:val="74"/>
    <w:qFormat/>
    <w:uiPriority w:val="9"/>
    <w:rPr>
      <w:rFonts w:ascii="Arial" w:hAnsi="Arial" w:eastAsia="Arial" w:cs="Arial"/>
      <w:b/>
      <w:bCs/>
      <w:sz w:val="24"/>
      <w:szCs w:val="24"/>
    </w:rPr>
  </w:style>
  <w:style w:type="character" w:customStyle="1" w:styleId="86">
    <w:name w:val="标题 6 字符"/>
    <w:basedOn w:val="79"/>
    <w:link w:val="75"/>
    <w:qFormat/>
    <w:uiPriority w:val="9"/>
    <w:rPr>
      <w:rFonts w:ascii="Arial" w:hAnsi="Arial" w:eastAsia="Arial" w:cs="Arial"/>
      <w:b/>
      <w:bCs/>
      <w:sz w:val="22"/>
      <w:szCs w:val="22"/>
    </w:rPr>
  </w:style>
  <w:style w:type="character" w:customStyle="1" w:styleId="87">
    <w:name w:val="标题 7 字符"/>
    <w:basedOn w:val="79"/>
    <w:link w:val="76"/>
    <w:qFormat/>
    <w:uiPriority w:val="9"/>
    <w:rPr>
      <w:rFonts w:ascii="Arial" w:hAnsi="Arial" w:eastAsia="Arial" w:cs="Arial"/>
      <w:b/>
      <w:bCs/>
      <w:i/>
      <w:iCs/>
      <w:sz w:val="22"/>
      <w:szCs w:val="22"/>
    </w:rPr>
  </w:style>
  <w:style w:type="character" w:customStyle="1" w:styleId="88">
    <w:name w:val="标题 8 字符"/>
    <w:basedOn w:val="79"/>
    <w:link w:val="77"/>
    <w:qFormat/>
    <w:uiPriority w:val="9"/>
    <w:rPr>
      <w:rFonts w:ascii="Arial" w:hAnsi="Arial" w:eastAsia="Arial" w:cs="Arial"/>
      <w:i/>
      <w:iCs/>
      <w:sz w:val="22"/>
      <w:szCs w:val="22"/>
    </w:rPr>
  </w:style>
  <w:style w:type="character" w:customStyle="1" w:styleId="89">
    <w:name w:val="标题 9 字符"/>
    <w:basedOn w:val="79"/>
    <w:link w:val="78"/>
    <w:qFormat/>
    <w:uiPriority w:val="9"/>
    <w:rPr>
      <w:rFonts w:ascii="Arial" w:hAnsi="Arial" w:eastAsia="Arial" w:cs="Arial"/>
      <w:i/>
      <w:iCs/>
      <w:sz w:val="21"/>
      <w:szCs w:val="21"/>
    </w:rPr>
  </w:style>
  <w:style w:type="paragraph" w:customStyle="1" w:styleId="90">
    <w:name w:val="目录 71"/>
    <w:basedOn w:val="1"/>
    <w:next w:val="1"/>
    <w:unhideWhenUsed/>
    <w:qFormat/>
    <w:uiPriority w:val="39"/>
    <w:pPr>
      <w:spacing w:after="57"/>
      <w:ind w:left="1701"/>
    </w:pPr>
  </w:style>
  <w:style w:type="paragraph" w:customStyle="1" w:styleId="91">
    <w:name w:val="正文缩进1"/>
    <w:basedOn w:val="1"/>
    <w:link w:val="92"/>
    <w:qFormat/>
    <w:uiPriority w:val="0"/>
    <w:pPr>
      <w:ind w:firstLine="420"/>
    </w:pPr>
  </w:style>
  <w:style w:type="character" w:customStyle="1" w:styleId="92">
    <w:name w:val="正文缩进 字符"/>
    <w:link w:val="91"/>
    <w:qFormat/>
    <w:uiPriority w:val="0"/>
  </w:style>
  <w:style w:type="paragraph" w:customStyle="1" w:styleId="93">
    <w:name w:val="题注1"/>
    <w:basedOn w:val="1"/>
    <w:next w:val="1"/>
    <w:unhideWhenUsed/>
    <w:qFormat/>
    <w:uiPriority w:val="35"/>
    <w:pPr>
      <w:spacing w:line="276" w:lineRule="auto"/>
    </w:pPr>
    <w:rPr>
      <w:b/>
      <w:bCs/>
      <w:color w:val="4F81BD"/>
      <w:sz w:val="18"/>
      <w:szCs w:val="18"/>
    </w:rPr>
  </w:style>
  <w:style w:type="paragraph" w:customStyle="1" w:styleId="94">
    <w:name w:val="批注文字1"/>
    <w:basedOn w:val="1"/>
    <w:link w:val="95"/>
    <w:qFormat/>
    <w:uiPriority w:val="0"/>
    <w:pPr>
      <w:jc w:val="left"/>
    </w:pPr>
    <w:rPr>
      <w:rFonts w:ascii="Calibri" w:hAnsi="Calibri" w:eastAsia="宋体" w:cs="Times New Roman"/>
      <w:szCs w:val="24"/>
    </w:rPr>
  </w:style>
  <w:style w:type="character" w:customStyle="1" w:styleId="95">
    <w:name w:val="批注文字 字符"/>
    <w:basedOn w:val="79"/>
    <w:link w:val="94"/>
    <w:qFormat/>
    <w:uiPriority w:val="0"/>
    <w:rPr>
      <w:rFonts w:ascii="Calibri" w:hAnsi="Calibri" w:eastAsia="宋体" w:cs="Times New Roman"/>
      <w:sz w:val="21"/>
      <w:szCs w:val="24"/>
    </w:rPr>
  </w:style>
  <w:style w:type="paragraph" w:customStyle="1" w:styleId="96">
    <w:name w:val="正文文本111"/>
    <w:basedOn w:val="1"/>
    <w:link w:val="97"/>
    <w:qFormat/>
    <w:uiPriority w:val="1"/>
    <w:pPr>
      <w:ind w:left="102"/>
    </w:pPr>
    <w:rPr>
      <w:rFonts w:ascii="仿宋" w:hAnsi="仿宋" w:eastAsia="仿宋"/>
      <w:sz w:val="28"/>
      <w:szCs w:val="28"/>
    </w:rPr>
  </w:style>
  <w:style w:type="character" w:customStyle="1" w:styleId="97">
    <w:name w:val="正文文本 字符"/>
    <w:basedOn w:val="79"/>
    <w:link w:val="96"/>
    <w:qFormat/>
    <w:uiPriority w:val="1"/>
    <w:rPr>
      <w:rFonts w:ascii="仿宋" w:hAnsi="仿宋" w:eastAsia="仿宋"/>
      <w:sz w:val="28"/>
      <w:szCs w:val="28"/>
    </w:rPr>
  </w:style>
  <w:style w:type="paragraph" w:customStyle="1" w:styleId="98">
    <w:name w:val="正文文本缩进1"/>
    <w:basedOn w:val="1"/>
    <w:next w:val="99"/>
    <w:link w:val="100"/>
    <w:unhideWhenUsed/>
    <w:qFormat/>
    <w:uiPriority w:val="99"/>
    <w:pPr>
      <w:spacing w:after="120"/>
      <w:ind w:left="420"/>
    </w:pPr>
  </w:style>
  <w:style w:type="paragraph" w:customStyle="1" w:styleId="99">
    <w:name w:val="寄信人地址1"/>
    <w:basedOn w:val="1"/>
    <w:unhideWhenUsed/>
    <w:qFormat/>
    <w:uiPriority w:val="99"/>
    <w:rPr>
      <w:rFonts w:ascii="Arial" w:hAnsi="Arial"/>
    </w:rPr>
  </w:style>
  <w:style w:type="character" w:customStyle="1" w:styleId="100">
    <w:name w:val="正文文本缩进 字符"/>
    <w:basedOn w:val="79"/>
    <w:link w:val="98"/>
    <w:semiHidden/>
    <w:qFormat/>
    <w:uiPriority w:val="99"/>
    <w:rPr>
      <w:sz w:val="21"/>
      <w:szCs w:val="22"/>
    </w:rPr>
  </w:style>
  <w:style w:type="paragraph" w:customStyle="1" w:styleId="101">
    <w:name w:val="目录 51"/>
    <w:basedOn w:val="1"/>
    <w:next w:val="1"/>
    <w:unhideWhenUsed/>
    <w:qFormat/>
    <w:uiPriority w:val="39"/>
    <w:pPr>
      <w:spacing w:after="57"/>
      <w:ind w:left="1134"/>
    </w:pPr>
  </w:style>
  <w:style w:type="paragraph" w:customStyle="1" w:styleId="102">
    <w:name w:val="目录 31"/>
    <w:basedOn w:val="1"/>
    <w:next w:val="1"/>
    <w:unhideWhenUsed/>
    <w:qFormat/>
    <w:uiPriority w:val="39"/>
    <w:pPr>
      <w:spacing w:after="57"/>
      <w:ind w:left="567"/>
    </w:pPr>
  </w:style>
  <w:style w:type="paragraph" w:customStyle="1" w:styleId="103">
    <w:name w:val="目录 81"/>
    <w:basedOn w:val="1"/>
    <w:next w:val="1"/>
    <w:unhideWhenUsed/>
    <w:qFormat/>
    <w:uiPriority w:val="39"/>
    <w:pPr>
      <w:spacing w:after="57"/>
      <w:ind w:left="1984"/>
    </w:pPr>
  </w:style>
  <w:style w:type="paragraph" w:customStyle="1" w:styleId="104">
    <w:name w:val="尾注文本1"/>
    <w:basedOn w:val="1"/>
    <w:link w:val="105"/>
    <w:unhideWhenUsed/>
    <w:qFormat/>
    <w:uiPriority w:val="99"/>
    <w:rPr>
      <w:sz w:val="20"/>
    </w:rPr>
  </w:style>
  <w:style w:type="character" w:customStyle="1" w:styleId="105">
    <w:name w:val="尾注文本 字符"/>
    <w:link w:val="104"/>
    <w:qFormat/>
    <w:uiPriority w:val="99"/>
    <w:rPr>
      <w:sz w:val="20"/>
    </w:rPr>
  </w:style>
  <w:style w:type="paragraph" w:customStyle="1" w:styleId="106">
    <w:name w:val="批注框文本1"/>
    <w:basedOn w:val="1"/>
    <w:link w:val="107"/>
    <w:unhideWhenUsed/>
    <w:qFormat/>
    <w:uiPriority w:val="99"/>
    <w:rPr>
      <w:sz w:val="18"/>
      <w:szCs w:val="18"/>
    </w:rPr>
  </w:style>
  <w:style w:type="character" w:customStyle="1" w:styleId="107">
    <w:name w:val="批注框文本 字符"/>
    <w:basedOn w:val="79"/>
    <w:link w:val="106"/>
    <w:semiHidden/>
    <w:qFormat/>
    <w:uiPriority w:val="99"/>
    <w:rPr>
      <w:sz w:val="18"/>
      <w:szCs w:val="18"/>
    </w:rPr>
  </w:style>
  <w:style w:type="paragraph" w:customStyle="1" w:styleId="108">
    <w:name w:val="页脚1"/>
    <w:basedOn w:val="1"/>
    <w:link w:val="109"/>
    <w:unhideWhenUsed/>
    <w:qFormat/>
    <w:uiPriority w:val="99"/>
    <w:pPr>
      <w:tabs>
        <w:tab w:val="center" w:pos="4153"/>
        <w:tab w:val="right" w:pos="8306"/>
      </w:tabs>
      <w:jc w:val="left"/>
    </w:pPr>
    <w:rPr>
      <w:sz w:val="18"/>
      <w:szCs w:val="18"/>
    </w:rPr>
  </w:style>
  <w:style w:type="character" w:customStyle="1" w:styleId="109">
    <w:name w:val="页脚 字符"/>
    <w:basedOn w:val="79"/>
    <w:link w:val="108"/>
    <w:qFormat/>
    <w:uiPriority w:val="99"/>
    <w:rPr>
      <w:sz w:val="18"/>
      <w:szCs w:val="18"/>
    </w:rPr>
  </w:style>
  <w:style w:type="paragraph" w:customStyle="1" w:styleId="110">
    <w:name w:val="页眉1"/>
    <w:basedOn w:val="1"/>
    <w:link w:val="111"/>
    <w:unhideWhenUsed/>
    <w:qFormat/>
    <w:uiPriority w:val="99"/>
    <w:pPr>
      <w:pBdr>
        <w:bottom w:val="single" w:color="000000" w:sz="6" w:space="1"/>
      </w:pBdr>
      <w:tabs>
        <w:tab w:val="center" w:pos="4153"/>
        <w:tab w:val="right" w:pos="8306"/>
      </w:tabs>
      <w:jc w:val="center"/>
    </w:pPr>
    <w:rPr>
      <w:sz w:val="18"/>
      <w:szCs w:val="18"/>
    </w:rPr>
  </w:style>
  <w:style w:type="character" w:customStyle="1" w:styleId="111">
    <w:name w:val="页眉 字符"/>
    <w:basedOn w:val="79"/>
    <w:link w:val="110"/>
    <w:qFormat/>
    <w:uiPriority w:val="99"/>
    <w:rPr>
      <w:sz w:val="18"/>
      <w:szCs w:val="18"/>
    </w:rPr>
  </w:style>
  <w:style w:type="paragraph" w:customStyle="1" w:styleId="112">
    <w:name w:val="目录 11"/>
    <w:basedOn w:val="1"/>
    <w:next w:val="1"/>
    <w:semiHidden/>
    <w:qFormat/>
    <w:uiPriority w:val="0"/>
    <w:pPr>
      <w:tabs>
        <w:tab w:val="right" w:leader="dot" w:pos="8296"/>
      </w:tabs>
      <w:spacing w:line="480" w:lineRule="auto"/>
      <w:jc w:val="center"/>
    </w:pPr>
    <w:rPr>
      <w:rFonts w:eastAsia="仿宋_GB2312"/>
      <w:color w:val="000000"/>
      <w:sz w:val="24"/>
    </w:rPr>
  </w:style>
  <w:style w:type="paragraph" w:customStyle="1" w:styleId="113">
    <w:name w:val="目录 41"/>
    <w:basedOn w:val="1"/>
    <w:next w:val="1"/>
    <w:unhideWhenUsed/>
    <w:qFormat/>
    <w:uiPriority w:val="39"/>
    <w:pPr>
      <w:spacing w:after="57"/>
      <w:ind w:left="850"/>
    </w:pPr>
  </w:style>
  <w:style w:type="paragraph" w:customStyle="1" w:styleId="114">
    <w:name w:val="副标题1"/>
    <w:basedOn w:val="1"/>
    <w:next w:val="1"/>
    <w:link w:val="115"/>
    <w:qFormat/>
    <w:uiPriority w:val="11"/>
    <w:pPr>
      <w:spacing w:before="200" w:after="200"/>
    </w:pPr>
    <w:rPr>
      <w:sz w:val="24"/>
      <w:szCs w:val="24"/>
    </w:rPr>
  </w:style>
  <w:style w:type="character" w:customStyle="1" w:styleId="115">
    <w:name w:val="副标题 字符"/>
    <w:basedOn w:val="79"/>
    <w:link w:val="114"/>
    <w:qFormat/>
    <w:uiPriority w:val="11"/>
    <w:rPr>
      <w:sz w:val="24"/>
      <w:szCs w:val="24"/>
    </w:rPr>
  </w:style>
  <w:style w:type="paragraph" w:customStyle="1" w:styleId="116">
    <w:name w:val="脚注文本1"/>
    <w:basedOn w:val="1"/>
    <w:link w:val="117"/>
    <w:unhideWhenUsed/>
    <w:qFormat/>
    <w:uiPriority w:val="99"/>
    <w:pPr>
      <w:spacing w:after="40"/>
    </w:pPr>
    <w:rPr>
      <w:sz w:val="18"/>
    </w:rPr>
  </w:style>
  <w:style w:type="character" w:customStyle="1" w:styleId="117">
    <w:name w:val="脚注文本 字符"/>
    <w:link w:val="116"/>
    <w:qFormat/>
    <w:uiPriority w:val="99"/>
    <w:rPr>
      <w:sz w:val="18"/>
    </w:rPr>
  </w:style>
  <w:style w:type="paragraph" w:customStyle="1" w:styleId="118">
    <w:name w:val="目录 61"/>
    <w:basedOn w:val="1"/>
    <w:next w:val="1"/>
    <w:unhideWhenUsed/>
    <w:qFormat/>
    <w:uiPriority w:val="39"/>
    <w:pPr>
      <w:spacing w:after="57"/>
      <w:ind w:left="1417"/>
    </w:pPr>
  </w:style>
  <w:style w:type="paragraph" w:customStyle="1" w:styleId="119">
    <w:name w:val="图表目录1"/>
    <w:basedOn w:val="1"/>
    <w:next w:val="1"/>
    <w:unhideWhenUsed/>
    <w:qFormat/>
    <w:uiPriority w:val="99"/>
  </w:style>
  <w:style w:type="paragraph" w:customStyle="1" w:styleId="120">
    <w:name w:val="目录 21"/>
    <w:basedOn w:val="1"/>
    <w:next w:val="1"/>
    <w:unhideWhenUsed/>
    <w:qFormat/>
    <w:uiPriority w:val="39"/>
    <w:pPr>
      <w:spacing w:after="57"/>
      <w:ind w:left="283"/>
    </w:pPr>
  </w:style>
  <w:style w:type="paragraph" w:customStyle="1" w:styleId="121">
    <w:name w:val="目录 91"/>
    <w:basedOn w:val="1"/>
    <w:next w:val="1"/>
    <w:unhideWhenUsed/>
    <w:qFormat/>
    <w:uiPriority w:val="39"/>
    <w:pPr>
      <w:spacing w:after="57"/>
      <w:ind w:left="2268"/>
    </w:pPr>
  </w:style>
  <w:style w:type="paragraph" w:customStyle="1" w:styleId="122">
    <w:name w:val="标题1"/>
    <w:basedOn w:val="1"/>
    <w:next w:val="1"/>
    <w:link w:val="123"/>
    <w:qFormat/>
    <w:uiPriority w:val="10"/>
    <w:pPr>
      <w:spacing w:before="300" w:after="200"/>
      <w:contextualSpacing/>
    </w:pPr>
    <w:rPr>
      <w:sz w:val="48"/>
      <w:szCs w:val="48"/>
    </w:rPr>
  </w:style>
  <w:style w:type="character" w:customStyle="1" w:styleId="123">
    <w:name w:val="标题 字符"/>
    <w:basedOn w:val="79"/>
    <w:link w:val="122"/>
    <w:qFormat/>
    <w:uiPriority w:val="10"/>
    <w:rPr>
      <w:sz w:val="48"/>
      <w:szCs w:val="48"/>
    </w:rPr>
  </w:style>
  <w:style w:type="paragraph" w:customStyle="1" w:styleId="124">
    <w:name w:val="正文首行缩进 211"/>
    <w:basedOn w:val="98"/>
    <w:link w:val="125"/>
    <w:unhideWhenUsed/>
    <w:qFormat/>
    <w:uiPriority w:val="99"/>
    <w:pPr>
      <w:ind w:firstLine="420"/>
    </w:pPr>
  </w:style>
  <w:style w:type="character" w:customStyle="1" w:styleId="125">
    <w:name w:val="正文文本首行缩进 2 字符"/>
    <w:basedOn w:val="100"/>
    <w:link w:val="124"/>
    <w:semiHidden/>
    <w:qFormat/>
    <w:uiPriority w:val="99"/>
    <w:rPr>
      <w:sz w:val="21"/>
      <w:szCs w:val="22"/>
    </w:rPr>
  </w:style>
  <w:style w:type="table" w:customStyle="1" w:styleId="126">
    <w:name w:val="网格型1"/>
    <w:basedOn w:val="80"/>
    <w:qFormat/>
    <w:uiPriority w:val="59"/>
    <w:pPr>
      <w:widowControl w:val="0"/>
      <w:jc w:val="both"/>
    </w:pPr>
    <w:rPr>
      <w:rFonts w:ascii="Times New Roman" w:hAnsi="Times New Roman" w:eastAsia="宋体" w:cs="Times New Roman"/>
    </w:rPr>
  </w:style>
  <w:style w:type="character" w:customStyle="1" w:styleId="127">
    <w:name w:val="尾注引用1"/>
    <w:basedOn w:val="79"/>
    <w:link w:val="1"/>
    <w:unhideWhenUsed/>
    <w:qFormat/>
    <w:uiPriority w:val="99"/>
    <w:rPr>
      <w:vertAlign w:val="superscript"/>
    </w:rPr>
  </w:style>
  <w:style w:type="character" w:customStyle="1" w:styleId="128">
    <w:name w:val="超链接1"/>
    <w:basedOn w:val="79"/>
    <w:link w:val="1"/>
    <w:unhideWhenUsed/>
    <w:qFormat/>
    <w:uiPriority w:val="99"/>
    <w:rPr>
      <w:color w:val="0000FF"/>
      <w:u w:val="single"/>
    </w:rPr>
  </w:style>
  <w:style w:type="character" w:customStyle="1" w:styleId="129">
    <w:name w:val="批注引用1"/>
    <w:link w:val="1"/>
    <w:qFormat/>
    <w:uiPriority w:val="0"/>
    <w:rPr>
      <w:sz w:val="21"/>
      <w:szCs w:val="21"/>
    </w:rPr>
  </w:style>
  <w:style w:type="character" w:customStyle="1" w:styleId="130">
    <w:name w:val="脚注引用1"/>
    <w:basedOn w:val="79"/>
    <w:link w:val="1"/>
    <w:unhideWhenUsed/>
    <w:qFormat/>
    <w:uiPriority w:val="99"/>
    <w:rPr>
      <w:vertAlign w:val="superscript"/>
    </w:rPr>
  </w:style>
  <w:style w:type="paragraph" w:customStyle="1" w:styleId="131">
    <w:name w:val="正文首行缩进 21"/>
    <w:basedOn w:val="98"/>
    <w:unhideWhenUsed/>
    <w:qFormat/>
    <w:uiPriority w:val="99"/>
    <w:pPr>
      <w:ind w:firstLine="200"/>
    </w:pPr>
  </w:style>
  <w:style w:type="character" w:customStyle="1" w:styleId="132">
    <w:name w:val="Heading 1 Char"/>
    <w:basedOn w:val="79"/>
    <w:link w:val="1"/>
    <w:qFormat/>
    <w:uiPriority w:val="9"/>
    <w:rPr>
      <w:rFonts w:ascii="Arial" w:hAnsi="Arial" w:eastAsia="Arial" w:cs="Arial"/>
      <w:sz w:val="40"/>
      <w:szCs w:val="40"/>
    </w:rPr>
  </w:style>
  <w:style w:type="character" w:customStyle="1" w:styleId="133">
    <w:name w:val="Heading 2 Char"/>
    <w:basedOn w:val="79"/>
    <w:link w:val="1"/>
    <w:qFormat/>
    <w:uiPriority w:val="9"/>
    <w:rPr>
      <w:rFonts w:ascii="Arial" w:hAnsi="Arial" w:eastAsia="Arial" w:cs="Arial"/>
      <w:sz w:val="34"/>
    </w:rPr>
  </w:style>
  <w:style w:type="character" w:customStyle="1" w:styleId="134">
    <w:name w:val="Heading 3 Char"/>
    <w:basedOn w:val="79"/>
    <w:link w:val="1"/>
    <w:qFormat/>
    <w:uiPriority w:val="9"/>
    <w:rPr>
      <w:rFonts w:ascii="Arial" w:hAnsi="Arial" w:eastAsia="Arial" w:cs="Arial"/>
      <w:sz w:val="30"/>
      <w:szCs w:val="30"/>
    </w:rPr>
  </w:style>
  <w:style w:type="character" w:customStyle="1" w:styleId="135">
    <w:name w:val="Heading 4 Char"/>
    <w:basedOn w:val="79"/>
    <w:link w:val="1"/>
    <w:qFormat/>
    <w:uiPriority w:val="9"/>
    <w:rPr>
      <w:rFonts w:ascii="Arial" w:hAnsi="Arial" w:eastAsia="Arial" w:cs="Arial"/>
      <w:b/>
      <w:bCs/>
      <w:sz w:val="26"/>
      <w:szCs w:val="26"/>
    </w:rPr>
  </w:style>
  <w:style w:type="paragraph" w:styleId="136">
    <w:name w:val="No Spacing"/>
    <w:qFormat/>
    <w:uiPriority w:val="1"/>
    <w:rPr>
      <w:rFonts w:hint="default" w:ascii="Calibri" w:hAnsi="Calibri" w:eastAsia="宋体" w:cs="Times New Roman"/>
      <w:lang w:val="en-US" w:eastAsia="zh-CN" w:bidi="ar-SA"/>
    </w:rPr>
  </w:style>
  <w:style w:type="paragraph" w:styleId="137">
    <w:name w:val="Quote"/>
    <w:basedOn w:val="1"/>
    <w:next w:val="1"/>
    <w:link w:val="138"/>
    <w:qFormat/>
    <w:uiPriority w:val="29"/>
    <w:pPr>
      <w:ind w:left="720" w:right="720"/>
    </w:pPr>
    <w:rPr>
      <w:i/>
    </w:rPr>
  </w:style>
  <w:style w:type="character" w:customStyle="1" w:styleId="138">
    <w:name w:val="引用 字符"/>
    <w:link w:val="137"/>
    <w:qFormat/>
    <w:uiPriority w:val="29"/>
    <w:rPr>
      <w:i/>
    </w:rPr>
  </w:style>
  <w:style w:type="paragraph" w:styleId="139">
    <w:name w:val="Intense Quote"/>
    <w:basedOn w:val="1"/>
    <w:next w:val="1"/>
    <w:link w:val="14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0">
    <w:name w:val="明显引用 字符"/>
    <w:link w:val="139"/>
    <w:qFormat/>
    <w:uiPriority w:val="30"/>
    <w:rPr>
      <w:i/>
    </w:rPr>
  </w:style>
  <w:style w:type="character" w:customStyle="1" w:styleId="141">
    <w:name w:val="Header Char"/>
    <w:basedOn w:val="79"/>
    <w:link w:val="1"/>
    <w:qFormat/>
    <w:uiPriority w:val="99"/>
  </w:style>
  <w:style w:type="character" w:customStyle="1" w:styleId="142">
    <w:name w:val="Footer Char"/>
    <w:basedOn w:val="79"/>
    <w:link w:val="1"/>
    <w:qFormat/>
    <w:uiPriority w:val="99"/>
  </w:style>
  <w:style w:type="character" w:customStyle="1" w:styleId="143">
    <w:name w:val="Caption Char"/>
    <w:link w:val="1"/>
    <w:qFormat/>
    <w:uiPriority w:val="99"/>
  </w:style>
  <w:style w:type="table" w:customStyle="1" w:styleId="144">
    <w:name w:val="Table Grid Light"/>
    <w:basedOn w:val="80"/>
    <w:qFormat/>
    <w:uiPriority w:val="59"/>
  </w:style>
  <w:style w:type="table" w:customStyle="1" w:styleId="145">
    <w:name w:val="无格式表格 11"/>
    <w:basedOn w:val="80"/>
    <w:qFormat/>
    <w:uiPriority w:val="59"/>
  </w:style>
  <w:style w:type="table" w:customStyle="1" w:styleId="146">
    <w:name w:val="无格式表格 21"/>
    <w:basedOn w:val="80"/>
    <w:qFormat/>
    <w:uiPriority w:val="59"/>
  </w:style>
  <w:style w:type="table" w:customStyle="1" w:styleId="147">
    <w:name w:val="无格式表格 31"/>
    <w:basedOn w:val="80"/>
    <w:qFormat/>
    <w:uiPriority w:val="99"/>
  </w:style>
  <w:style w:type="table" w:customStyle="1" w:styleId="148">
    <w:name w:val="无格式表格 41"/>
    <w:basedOn w:val="80"/>
    <w:qFormat/>
    <w:uiPriority w:val="99"/>
  </w:style>
  <w:style w:type="table" w:customStyle="1" w:styleId="149">
    <w:name w:val="无格式表格 51"/>
    <w:basedOn w:val="80"/>
    <w:qFormat/>
    <w:uiPriority w:val="99"/>
  </w:style>
  <w:style w:type="table" w:customStyle="1" w:styleId="150">
    <w:name w:val="网格表 1 浅色1"/>
    <w:basedOn w:val="80"/>
    <w:qFormat/>
    <w:uiPriority w:val="99"/>
  </w:style>
  <w:style w:type="table" w:customStyle="1" w:styleId="151">
    <w:name w:val="Grid Table 1 Light - Accent 1"/>
    <w:basedOn w:val="80"/>
    <w:qFormat/>
    <w:uiPriority w:val="99"/>
  </w:style>
  <w:style w:type="table" w:customStyle="1" w:styleId="152">
    <w:name w:val="Grid Table 1 Light - Accent 2"/>
    <w:basedOn w:val="80"/>
    <w:qFormat/>
    <w:uiPriority w:val="99"/>
  </w:style>
  <w:style w:type="table" w:customStyle="1" w:styleId="153">
    <w:name w:val="Grid Table 1 Light - Accent 3"/>
    <w:basedOn w:val="80"/>
    <w:qFormat/>
    <w:uiPriority w:val="99"/>
  </w:style>
  <w:style w:type="table" w:customStyle="1" w:styleId="154">
    <w:name w:val="Grid Table 1 Light - Accent 4"/>
    <w:basedOn w:val="80"/>
    <w:qFormat/>
    <w:uiPriority w:val="99"/>
  </w:style>
  <w:style w:type="table" w:customStyle="1" w:styleId="155">
    <w:name w:val="Grid Table 1 Light - Accent 5"/>
    <w:basedOn w:val="80"/>
    <w:qFormat/>
    <w:uiPriority w:val="99"/>
  </w:style>
  <w:style w:type="table" w:customStyle="1" w:styleId="156">
    <w:name w:val="Grid Table 1 Light - Accent 6"/>
    <w:basedOn w:val="80"/>
    <w:qFormat/>
    <w:uiPriority w:val="99"/>
  </w:style>
  <w:style w:type="table" w:customStyle="1" w:styleId="157">
    <w:name w:val="网格表 21"/>
    <w:basedOn w:val="80"/>
    <w:qFormat/>
    <w:uiPriority w:val="99"/>
  </w:style>
  <w:style w:type="table" w:customStyle="1" w:styleId="158">
    <w:name w:val="Grid Table 2 - Accent 1"/>
    <w:basedOn w:val="80"/>
    <w:qFormat/>
    <w:uiPriority w:val="99"/>
  </w:style>
  <w:style w:type="table" w:customStyle="1" w:styleId="159">
    <w:name w:val="Grid Table 2 - Accent 2"/>
    <w:basedOn w:val="80"/>
    <w:qFormat/>
    <w:uiPriority w:val="99"/>
  </w:style>
  <w:style w:type="table" w:customStyle="1" w:styleId="160">
    <w:name w:val="Grid Table 2 - Accent 3"/>
    <w:basedOn w:val="80"/>
    <w:qFormat/>
    <w:uiPriority w:val="99"/>
  </w:style>
  <w:style w:type="table" w:customStyle="1" w:styleId="161">
    <w:name w:val="Grid Table 2 - Accent 4"/>
    <w:basedOn w:val="80"/>
    <w:qFormat/>
    <w:uiPriority w:val="99"/>
  </w:style>
  <w:style w:type="table" w:customStyle="1" w:styleId="162">
    <w:name w:val="Grid Table 2 - Accent 5"/>
    <w:basedOn w:val="80"/>
    <w:qFormat/>
    <w:uiPriority w:val="99"/>
  </w:style>
  <w:style w:type="table" w:customStyle="1" w:styleId="163">
    <w:name w:val="Grid Table 2 - Accent 6"/>
    <w:basedOn w:val="80"/>
    <w:qFormat/>
    <w:uiPriority w:val="99"/>
  </w:style>
  <w:style w:type="table" w:customStyle="1" w:styleId="164">
    <w:name w:val="网格表 31"/>
    <w:basedOn w:val="80"/>
    <w:qFormat/>
    <w:uiPriority w:val="99"/>
  </w:style>
  <w:style w:type="table" w:customStyle="1" w:styleId="165">
    <w:name w:val="Grid Table 3 - Accent 1"/>
    <w:basedOn w:val="80"/>
    <w:qFormat/>
    <w:uiPriority w:val="99"/>
  </w:style>
  <w:style w:type="table" w:customStyle="1" w:styleId="166">
    <w:name w:val="Grid Table 3 - Accent 2"/>
    <w:basedOn w:val="80"/>
    <w:qFormat/>
    <w:uiPriority w:val="99"/>
  </w:style>
  <w:style w:type="table" w:customStyle="1" w:styleId="167">
    <w:name w:val="Grid Table 3 - Accent 3"/>
    <w:basedOn w:val="80"/>
    <w:qFormat/>
    <w:uiPriority w:val="99"/>
  </w:style>
  <w:style w:type="table" w:customStyle="1" w:styleId="168">
    <w:name w:val="Grid Table 3 - Accent 4"/>
    <w:basedOn w:val="80"/>
    <w:qFormat/>
    <w:uiPriority w:val="99"/>
  </w:style>
  <w:style w:type="table" w:customStyle="1" w:styleId="169">
    <w:name w:val="Grid Table 3 - Accent 5"/>
    <w:basedOn w:val="80"/>
    <w:qFormat/>
    <w:uiPriority w:val="99"/>
  </w:style>
  <w:style w:type="table" w:customStyle="1" w:styleId="170">
    <w:name w:val="Grid Table 3 - Accent 6"/>
    <w:basedOn w:val="80"/>
    <w:qFormat/>
    <w:uiPriority w:val="99"/>
  </w:style>
  <w:style w:type="table" w:customStyle="1" w:styleId="171">
    <w:name w:val="网格表 41"/>
    <w:basedOn w:val="80"/>
    <w:qFormat/>
    <w:uiPriority w:val="59"/>
  </w:style>
  <w:style w:type="table" w:customStyle="1" w:styleId="172">
    <w:name w:val="Grid Table 4 - Accent 1"/>
    <w:basedOn w:val="80"/>
    <w:qFormat/>
    <w:uiPriority w:val="59"/>
  </w:style>
  <w:style w:type="table" w:customStyle="1" w:styleId="173">
    <w:name w:val="Grid Table 4 - Accent 2"/>
    <w:basedOn w:val="80"/>
    <w:qFormat/>
    <w:uiPriority w:val="59"/>
  </w:style>
  <w:style w:type="table" w:customStyle="1" w:styleId="174">
    <w:name w:val="Grid Table 4 - Accent 3"/>
    <w:basedOn w:val="80"/>
    <w:qFormat/>
    <w:uiPriority w:val="59"/>
  </w:style>
  <w:style w:type="table" w:customStyle="1" w:styleId="175">
    <w:name w:val="Grid Table 4 - Accent 4"/>
    <w:basedOn w:val="80"/>
    <w:qFormat/>
    <w:uiPriority w:val="59"/>
  </w:style>
  <w:style w:type="table" w:customStyle="1" w:styleId="176">
    <w:name w:val="Grid Table 4 - Accent 5"/>
    <w:basedOn w:val="80"/>
    <w:qFormat/>
    <w:uiPriority w:val="59"/>
  </w:style>
  <w:style w:type="table" w:customStyle="1" w:styleId="177">
    <w:name w:val="Grid Table 4 - Accent 6"/>
    <w:basedOn w:val="80"/>
    <w:qFormat/>
    <w:uiPriority w:val="59"/>
  </w:style>
  <w:style w:type="table" w:customStyle="1" w:styleId="178">
    <w:name w:val="网格表 5 深色1"/>
    <w:basedOn w:val="80"/>
    <w:qFormat/>
    <w:uiPriority w:val="99"/>
  </w:style>
  <w:style w:type="table" w:customStyle="1" w:styleId="179">
    <w:name w:val="Grid Table 5 Dark- Accent 1"/>
    <w:basedOn w:val="80"/>
    <w:qFormat/>
    <w:uiPriority w:val="99"/>
  </w:style>
  <w:style w:type="table" w:customStyle="1" w:styleId="180">
    <w:name w:val="Grid Table 5 Dark - Accent 2"/>
    <w:basedOn w:val="80"/>
    <w:qFormat/>
    <w:uiPriority w:val="99"/>
  </w:style>
  <w:style w:type="table" w:customStyle="1" w:styleId="181">
    <w:name w:val="Grid Table 5 Dark - Accent 3"/>
    <w:basedOn w:val="80"/>
    <w:qFormat/>
    <w:uiPriority w:val="99"/>
  </w:style>
  <w:style w:type="table" w:customStyle="1" w:styleId="182">
    <w:name w:val="Grid Table 5 Dark- Accent 4"/>
    <w:basedOn w:val="80"/>
    <w:qFormat/>
    <w:uiPriority w:val="99"/>
  </w:style>
  <w:style w:type="table" w:customStyle="1" w:styleId="183">
    <w:name w:val="Grid Table 5 Dark - Accent 5"/>
    <w:basedOn w:val="80"/>
    <w:qFormat/>
    <w:uiPriority w:val="99"/>
  </w:style>
  <w:style w:type="table" w:customStyle="1" w:styleId="184">
    <w:name w:val="Grid Table 5 Dark - Accent 6"/>
    <w:basedOn w:val="80"/>
    <w:qFormat/>
    <w:uiPriority w:val="99"/>
  </w:style>
  <w:style w:type="table" w:customStyle="1" w:styleId="185">
    <w:name w:val="网格表 6 彩色1"/>
    <w:basedOn w:val="80"/>
    <w:qFormat/>
    <w:uiPriority w:val="99"/>
  </w:style>
  <w:style w:type="table" w:customStyle="1" w:styleId="186">
    <w:name w:val="Grid Table 6 Colorful - Accent 1"/>
    <w:basedOn w:val="80"/>
    <w:qFormat/>
    <w:uiPriority w:val="99"/>
  </w:style>
  <w:style w:type="table" w:customStyle="1" w:styleId="187">
    <w:name w:val="Grid Table 6 Colorful - Accent 2"/>
    <w:basedOn w:val="80"/>
    <w:qFormat/>
    <w:uiPriority w:val="99"/>
  </w:style>
  <w:style w:type="table" w:customStyle="1" w:styleId="188">
    <w:name w:val="Grid Table 6 Colorful - Accent 3"/>
    <w:basedOn w:val="80"/>
    <w:qFormat/>
    <w:uiPriority w:val="99"/>
  </w:style>
  <w:style w:type="table" w:customStyle="1" w:styleId="189">
    <w:name w:val="Grid Table 6 Colorful - Accent 4"/>
    <w:basedOn w:val="80"/>
    <w:qFormat/>
    <w:uiPriority w:val="99"/>
  </w:style>
  <w:style w:type="table" w:customStyle="1" w:styleId="190">
    <w:name w:val="Grid Table 6 Colorful - Accent 5"/>
    <w:basedOn w:val="80"/>
    <w:qFormat/>
    <w:uiPriority w:val="99"/>
  </w:style>
  <w:style w:type="table" w:customStyle="1" w:styleId="191">
    <w:name w:val="Grid Table 6 Colorful - Accent 6"/>
    <w:basedOn w:val="80"/>
    <w:qFormat/>
    <w:uiPriority w:val="99"/>
  </w:style>
  <w:style w:type="table" w:customStyle="1" w:styleId="192">
    <w:name w:val="网格表 7 彩色1"/>
    <w:basedOn w:val="80"/>
    <w:qFormat/>
    <w:uiPriority w:val="99"/>
  </w:style>
  <w:style w:type="table" w:customStyle="1" w:styleId="193">
    <w:name w:val="Grid Table 7 Colorful - Accent 1"/>
    <w:basedOn w:val="80"/>
    <w:qFormat/>
    <w:uiPriority w:val="99"/>
  </w:style>
  <w:style w:type="table" w:customStyle="1" w:styleId="194">
    <w:name w:val="Grid Table 7 Colorful - Accent 2"/>
    <w:basedOn w:val="80"/>
    <w:qFormat/>
    <w:uiPriority w:val="99"/>
  </w:style>
  <w:style w:type="table" w:customStyle="1" w:styleId="195">
    <w:name w:val="Grid Table 7 Colorful - Accent 3"/>
    <w:basedOn w:val="80"/>
    <w:qFormat/>
    <w:uiPriority w:val="99"/>
  </w:style>
  <w:style w:type="table" w:customStyle="1" w:styleId="196">
    <w:name w:val="Grid Table 7 Colorful - Accent 4"/>
    <w:basedOn w:val="80"/>
    <w:qFormat/>
    <w:uiPriority w:val="99"/>
  </w:style>
  <w:style w:type="table" w:customStyle="1" w:styleId="197">
    <w:name w:val="Grid Table 7 Colorful - Accent 5"/>
    <w:basedOn w:val="80"/>
    <w:qFormat/>
    <w:uiPriority w:val="99"/>
  </w:style>
  <w:style w:type="table" w:customStyle="1" w:styleId="198">
    <w:name w:val="Grid Table 7 Colorful - Accent 6"/>
    <w:basedOn w:val="80"/>
    <w:qFormat/>
    <w:uiPriority w:val="99"/>
  </w:style>
  <w:style w:type="table" w:customStyle="1" w:styleId="199">
    <w:name w:val="清单表 1 浅色1"/>
    <w:basedOn w:val="80"/>
    <w:qFormat/>
    <w:uiPriority w:val="99"/>
  </w:style>
  <w:style w:type="table" w:customStyle="1" w:styleId="200">
    <w:name w:val="List Table 1 Light - Accent 1"/>
    <w:basedOn w:val="80"/>
    <w:qFormat/>
    <w:uiPriority w:val="99"/>
  </w:style>
  <w:style w:type="table" w:customStyle="1" w:styleId="201">
    <w:name w:val="List Table 1 Light - Accent 2"/>
    <w:basedOn w:val="80"/>
    <w:qFormat/>
    <w:uiPriority w:val="99"/>
  </w:style>
  <w:style w:type="table" w:customStyle="1" w:styleId="202">
    <w:name w:val="List Table 1 Light - Accent 3"/>
    <w:basedOn w:val="80"/>
    <w:qFormat/>
    <w:uiPriority w:val="99"/>
  </w:style>
  <w:style w:type="table" w:customStyle="1" w:styleId="203">
    <w:name w:val="List Table 1 Light - Accent 4"/>
    <w:basedOn w:val="80"/>
    <w:qFormat/>
    <w:uiPriority w:val="99"/>
  </w:style>
  <w:style w:type="table" w:customStyle="1" w:styleId="204">
    <w:name w:val="List Table 1 Light - Accent 5"/>
    <w:basedOn w:val="80"/>
    <w:qFormat/>
    <w:uiPriority w:val="99"/>
  </w:style>
  <w:style w:type="table" w:customStyle="1" w:styleId="205">
    <w:name w:val="List Table 1 Light - Accent 6"/>
    <w:basedOn w:val="80"/>
    <w:qFormat/>
    <w:uiPriority w:val="99"/>
  </w:style>
  <w:style w:type="table" w:customStyle="1" w:styleId="206">
    <w:name w:val="清单表 21"/>
    <w:basedOn w:val="80"/>
    <w:qFormat/>
    <w:uiPriority w:val="99"/>
  </w:style>
  <w:style w:type="table" w:customStyle="1" w:styleId="207">
    <w:name w:val="List Table 2 - Accent 1"/>
    <w:basedOn w:val="80"/>
    <w:qFormat/>
    <w:uiPriority w:val="99"/>
  </w:style>
  <w:style w:type="table" w:customStyle="1" w:styleId="208">
    <w:name w:val="List Table 2 - Accent 2"/>
    <w:basedOn w:val="80"/>
    <w:qFormat/>
    <w:uiPriority w:val="99"/>
  </w:style>
  <w:style w:type="table" w:customStyle="1" w:styleId="209">
    <w:name w:val="List Table 2 - Accent 3"/>
    <w:basedOn w:val="80"/>
    <w:qFormat/>
    <w:uiPriority w:val="99"/>
  </w:style>
  <w:style w:type="table" w:customStyle="1" w:styleId="210">
    <w:name w:val="List Table 2 - Accent 4"/>
    <w:basedOn w:val="80"/>
    <w:qFormat/>
    <w:uiPriority w:val="99"/>
  </w:style>
  <w:style w:type="table" w:customStyle="1" w:styleId="211">
    <w:name w:val="List Table 2 - Accent 5"/>
    <w:basedOn w:val="80"/>
    <w:qFormat/>
    <w:uiPriority w:val="99"/>
  </w:style>
  <w:style w:type="table" w:customStyle="1" w:styleId="212">
    <w:name w:val="List Table 2 - Accent 6"/>
    <w:basedOn w:val="80"/>
    <w:qFormat/>
    <w:uiPriority w:val="99"/>
  </w:style>
  <w:style w:type="table" w:customStyle="1" w:styleId="213">
    <w:name w:val="清单表 31"/>
    <w:basedOn w:val="80"/>
    <w:qFormat/>
    <w:uiPriority w:val="99"/>
  </w:style>
  <w:style w:type="table" w:customStyle="1" w:styleId="214">
    <w:name w:val="List Table 3 - Accent 1"/>
    <w:basedOn w:val="80"/>
    <w:qFormat/>
    <w:uiPriority w:val="99"/>
  </w:style>
  <w:style w:type="table" w:customStyle="1" w:styleId="215">
    <w:name w:val="List Table 3 - Accent 2"/>
    <w:basedOn w:val="80"/>
    <w:qFormat/>
    <w:uiPriority w:val="99"/>
  </w:style>
  <w:style w:type="table" w:customStyle="1" w:styleId="216">
    <w:name w:val="List Table 3 - Accent 3"/>
    <w:basedOn w:val="80"/>
    <w:qFormat/>
    <w:uiPriority w:val="99"/>
  </w:style>
  <w:style w:type="table" w:customStyle="1" w:styleId="217">
    <w:name w:val="List Table 3 - Accent 4"/>
    <w:basedOn w:val="80"/>
    <w:qFormat/>
    <w:uiPriority w:val="99"/>
  </w:style>
  <w:style w:type="table" w:customStyle="1" w:styleId="218">
    <w:name w:val="List Table 3 - Accent 5"/>
    <w:basedOn w:val="80"/>
    <w:qFormat/>
    <w:uiPriority w:val="99"/>
  </w:style>
  <w:style w:type="table" w:customStyle="1" w:styleId="219">
    <w:name w:val="List Table 3 - Accent 6"/>
    <w:basedOn w:val="80"/>
    <w:qFormat/>
    <w:uiPriority w:val="99"/>
  </w:style>
  <w:style w:type="table" w:customStyle="1" w:styleId="220">
    <w:name w:val="清单表 41"/>
    <w:basedOn w:val="80"/>
    <w:qFormat/>
    <w:uiPriority w:val="99"/>
  </w:style>
  <w:style w:type="table" w:customStyle="1" w:styleId="221">
    <w:name w:val="List Table 4 - Accent 1"/>
    <w:basedOn w:val="80"/>
    <w:qFormat/>
    <w:uiPriority w:val="99"/>
  </w:style>
  <w:style w:type="table" w:customStyle="1" w:styleId="222">
    <w:name w:val="List Table 4 - Accent 2"/>
    <w:basedOn w:val="80"/>
    <w:qFormat/>
    <w:uiPriority w:val="99"/>
  </w:style>
  <w:style w:type="table" w:customStyle="1" w:styleId="223">
    <w:name w:val="List Table 4 - Accent 3"/>
    <w:basedOn w:val="80"/>
    <w:qFormat/>
    <w:uiPriority w:val="99"/>
  </w:style>
  <w:style w:type="table" w:customStyle="1" w:styleId="224">
    <w:name w:val="List Table 4 - Accent 4"/>
    <w:basedOn w:val="80"/>
    <w:qFormat/>
    <w:uiPriority w:val="99"/>
  </w:style>
  <w:style w:type="table" w:customStyle="1" w:styleId="225">
    <w:name w:val="List Table 4 - Accent 5"/>
    <w:basedOn w:val="80"/>
    <w:qFormat/>
    <w:uiPriority w:val="99"/>
  </w:style>
  <w:style w:type="table" w:customStyle="1" w:styleId="226">
    <w:name w:val="List Table 4 - Accent 6"/>
    <w:basedOn w:val="80"/>
    <w:qFormat/>
    <w:uiPriority w:val="99"/>
  </w:style>
  <w:style w:type="table" w:customStyle="1" w:styleId="227">
    <w:name w:val="清单表 5 深色1"/>
    <w:basedOn w:val="80"/>
    <w:qFormat/>
    <w:uiPriority w:val="99"/>
  </w:style>
  <w:style w:type="table" w:customStyle="1" w:styleId="228">
    <w:name w:val="List Table 5 Dark - Accent 1"/>
    <w:basedOn w:val="80"/>
    <w:qFormat/>
    <w:uiPriority w:val="99"/>
  </w:style>
  <w:style w:type="table" w:customStyle="1" w:styleId="229">
    <w:name w:val="List Table 5 Dark - Accent 2"/>
    <w:basedOn w:val="80"/>
    <w:qFormat/>
    <w:uiPriority w:val="99"/>
  </w:style>
  <w:style w:type="table" w:customStyle="1" w:styleId="230">
    <w:name w:val="List Table 5 Dark - Accent 3"/>
    <w:basedOn w:val="80"/>
    <w:qFormat/>
    <w:uiPriority w:val="99"/>
  </w:style>
  <w:style w:type="table" w:customStyle="1" w:styleId="231">
    <w:name w:val="List Table 5 Dark - Accent 4"/>
    <w:basedOn w:val="80"/>
    <w:qFormat/>
    <w:uiPriority w:val="99"/>
  </w:style>
  <w:style w:type="table" w:customStyle="1" w:styleId="232">
    <w:name w:val="List Table 5 Dark - Accent 5"/>
    <w:basedOn w:val="80"/>
    <w:qFormat/>
    <w:uiPriority w:val="99"/>
  </w:style>
  <w:style w:type="table" w:customStyle="1" w:styleId="233">
    <w:name w:val="List Table 5 Dark - Accent 6"/>
    <w:basedOn w:val="80"/>
    <w:qFormat/>
    <w:uiPriority w:val="99"/>
  </w:style>
  <w:style w:type="table" w:customStyle="1" w:styleId="234">
    <w:name w:val="清单表 6 彩色1"/>
    <w:basedOn w:val="80"/>
    <w:qFormat/>
    <w:uiPriority w:val="99"/>
  </w:style>
  <w:style w:type="table" w:customStyle="1" w:styleId="235">
    <w:name w:val="List Table 6 Colorful - Accent 1"/>
    <w:basedOn w:val="80"/>
    <w:qFormat/>
    <w:uiPriority w:val="99"/>
  </w:style>
  <w:style w:type="table" w:customStyle="1" w:styleId="236">
    <w:name w:val="List Table 6 Colorful - Accent 2"/>
    <w:basedOn w:val="80"/>
    <w:qFormat/>
    <w:uiPriority w:val="99"/>
  </w:style>
  <w:style w:type="table" w:customStyle="1" w:styleId="237">
    <w:name w:val="List Table 6 Colorful - Accent 3"/>
    <w:basedOn w:val="80"/>
    <w:qFormat/>
    <w:uiPriority w:val="99"/>
  </w:style>
  <w:style w:type="table" w:customStyle="1" w:styleId="238">
    <w:name w:val="List Table 6 Colorful - Accent 4"/>
    <w:basedOn w:val="80"/>
    <w:qFormat/>
    <w:uiPriority w:val="99"/>
  </w:style>
  <w:style w:type="table" w:customStyle="1" w:styleId="239">
    <w:name w:val="List Table 6 Colorful - Accent 5"/>
    <w:basedOn w:val="80"/>
    <w:qFormat/>
    <w:uiPriority w:val="99"/>
  </w:style>
  <w:style w:type="table" w:customStyle="1" w:styleId="240">
    <w:name w:val="List Table 6 Colorful - Accent 6"/>
    <w:basedOn w:val="80"/>
    <w:qFormat/>
    <w:uiPriority w:val="99"/>
  </w:style>
  <w:style w:type="table" w:customStyle="1" w:styleId="241">
    <w:name w:val="清单表 7 彩色1"/>
    <w:basedOn w:val="80"/>
    <w:qFormat/>
    <w:uiPriority w:val="99"/>
  </w:style>
  <w:style w:type="table" w:customStyle="1" w:styleId="242">
    <w:name w:val="List Table 7 Colorful - Accent 1"/>
    <w:basedOn w:val="80"/>
    <w:qFormat/>
    <w:uiPriority w:val="99"/>
  </w:style>
  <w:style w:type="table" w:customStyle="1" w:styleId="243">
    <w:name w:val="List Table 7 Colorful - Accent 2"/>
    <w:basedOn w:val="80"/>
    <w:qFormat/>
    <w:uiPriority w:val="99"/>
  </w:style>
  <w:style w:type="table" w:customStyle="1" w:styleId="244">
    <w:name w:val="List Table 7 Colorful - Accent 3"/>
    <w:basedOn w:val="80"/>
    <w:qFormat/>
    <w:uiPriority w:val="99"/>
  </w:style>
  <w:style w:type="table" w:customStyle="1" w:styleId="245">
    <w:name w:val="List Table 7 Colorful - Accent 4"/>
    <w:basedOn w:val="80"/>
    <w:qFormat/>
    <w:uiPriority w:val="99"/>
  </w:style>
  <w:style w:type="table" w:customStyle="1" w:styleId="246">
    <w:name w:val="List Table 7 Colorful - Accent 5"/>
    <w:basedOn w:val="80"/>
    <w:qFormat/>
    <w:uiPriority w:val="99"/>
  </w:style>
  <w:style w:type="table" w:customStyle="1" w:styleId="247">
    <w:name w:val="List Table 7 Colorful - Accent 6"/>
    <w:basedOn w:val="80"/>
    <w:qFormat/>
    <w:uiPriority w:val="99"/>
  </w:style>
  <w:style w:type="table" w:customStyle="1" w:styleId="248">
    <w:name w:val="Lined - Accent"/>
    <w:basedOn w:val="80"/>
    <w:qFormat/>
    <w:uiPriority w:val="99"/>
    <w:rPr>
      <w:color w:val="404040"/>
    </w:rPr>
  </w:style>
  <w:style w:type="table" w:customStyle="1" w:styleId="249">
    <w:name w:val="Lined - Accent 1"/>
    <w:basedOn w:val="80"/>
    <w:qFormat/>
    <w:uiPriority w:val="99"/>
    <w:rPr>
      <w:color w:val="404040"/>
    </w:rPr>
  </w:style>
  <w:style w:type="table" w:customStyle="1" w:styleId="250">
    <w:name w:val="Lined - Accent 2"/>
    <w:basedOn w:val="80"/>
    <w:qFormat/>
    <w:uiPriority w:val="99"/>
    <w:rPr>
      <w:color w:val="404040"/>
    </w:rPr>
  </w:style>
  <w:style w:type="table" w:customStyle="1" w:styleId="251">
    <w:name w:val="Lined - Accent 3"/>
    <w:basedOn w:val="80"/>
    <w:qFormat/>
    <w:uiPriority w:val="99"/>
    <w:rPr>
      <w:color w:val="404040"/>
    </w:rPr>
  </w:style>
  <w:style w:type="table" w:customStyle="1" w:styleId="252">
    <w:name w:val="Lined - Accent 4"/>
    <w:basedOn w:val="80"/>
    <w:qFormat/>
    <w:uiPriority w:val="99"/>
    <w:rPr>
      <w:color w:val="404040"/>
    </w:rPr>
  </w:style>
  <w:style w:type="table" w:customStyle="1" w:styleId="253">
    <w:name w:val="Lined - Accent 5"/>
    <w:basedOn w:val="80"/>
    <w:qFormat/>
    <w:uiPriority w:val="99"/>
    <w:rPr>
      <w:color w:val="404040"/>
    </w:rPr>
  </w:style>
  <w:style w:type="table" w:customStyle="1" w:styleId="254">
    <w:name w:val="Lined - Accent 6"/>
    <w:basedOn w:val="80"/>
    <w:qFormat/>
    <w:uiPriority w:val="99"/>
    <w:rPr>
      <w:color w:val="404040"/>
    </w:rPr>
  </w:style>
  <w:style w:type="table" w:customStyle="1" w:styleId="255">
    <w:name w:val="Bordered &amp; Lined - Accent"/>
    <w:basedOn w:val="80"/>
    <w:qFormat/>
    <w:uiPriority w:val="99"/>
    <w:rPr>
      <w:color w:val="404040"/>
    </w:rPr>
  </w:style>
  <w:style w:type="table" w:customStyle="1" w:styleId="256">
    <w:name w:val="Bordered &amp; Lined - Accent 1"/>
    <w:basedOn w:val="80"/>
    <w:qFormat/>
    <w:uiPriority w:val="99"/>
    <w:rPr>
      <w:color w:val="404040"/>
    </w:rPr>
  </w:style>
  <w:style w:type="table" w:customStyle="1" w:styleId="257">
    <w:name w:val="Bordered &amp; Lined - Accent 2"/>
    <w:basedOn w:val="80"/>
    <w:qFormat/>
    <w:uiPriority w:val="99"/>
    <w:rPr>
      <w:color w:val="404040"/>
    </w:rPr>
  </w:style>
  <w:style w:type="table" w:customStyle="1" w:styleId="258">
    <w:name w:val="Bordered &amp; Lined - Accent 3"/>
    <w:basedOn w:val="80"/>
    <w:qFormat/>
    <w:uiPriority w:val="99"/>
    <w:rPr>
      <w:color w:val="404040"/>
    </w:rPr>
  </w:style>
  <w:style w:type="table" w:customStyle="1" w:styleId="259">
    <w:name w:val="Bordered &amp; Lined - Accent 4"/>
    <w:basedOn w:val="80"/>
    <w:qFormat/>
    <w:uiPriority w:val="99"/>
    <w:rPr>
      <w:color w:val="404040"/>
    </w:rPr>
  </w:style>
  <w:style w:type="table" w:customStyle="1" w:styleId="260">
    <w:name w:val="Bordered &amp; Lined - Accent 5"/>
    <w:basedOn w:val="80"/>
    <w:qFormat/>
    <w:uiPriority w:val="99"/>
    <w:rPr>
      <w:color w:val="404040"/>
    </w:rPr>
  </w:style>
  <w:style w:type="table" w:customStyle="1" w:styleId="261">
    <w:name w:val="Bordered &amp; Lined - Accent 6"/>
    <w:basedOn w:val="80"/>
    <w:qFormat/>
    <w:uiPriority w:val="99"/>
    <w:rPr>
      <w:color w:val="404040"/>
    </w:rPr>
  </w:style>
  <w:style w:type="table" w:customStyle="1" w:styleId="262">
    <w:name w:val="Bordered"/>
    <w:basedOn w:val="80"/>
    <w:qFormat/>
    <w:uiPriority w:val="99"/>
  </w:style>
  <w:style w:type="table" w:customStyle="1" w:styleId="263">
    <w:name w:val="Bordered - Accent 1"/>
    <w:basedOn w:val="80"/>
    <w:qFormat/>
    <w:uiPriority w:val="99"/>
  </w:style>
  <w:style w:type="table" w:customStyle="1" w:styleId="264">
    <w:name w:val="Bordered - Accent 2"/>
    <w:basedOn w:val="80"/>
    <w:qFormat/>
    <w:uiPriority w:val="99"/>
  </w:style>
  <w:style w:type="table" w:customStyle="1" w:styleId="265">
    <w:name w:val="Bordered - Accent 3"/>
    <w:basedOn w:val="80"/>
    <w:qFormat/>
    <w:uiPriority w:val="99"/>
  </w:style>
  <w:style w:type="table" w:customStyle="1" w:styleId="266">
    <w:name w:val="Bordered - Accent 4"/>
    <w:basedOn w:val="80"/>
    <w:qFormat/>
    <w:uiPriority w:val="99"/>
  </w:style>
  <w:style w:type="table" w:customStyle="1" w:styleId="267">
    <w:name w:val="Bordered - Accent 5"/>
    <w:basedOn w:val="80"/>
    <w:qFormat/>
    <w:uiPriority w:val="99"/>
  </w:style>
  <w:style w:type="table" w:customStyle="1" w:styleId="268">
    <w:name w:val="Bordered - Accent 6"/>
    <w:basedOn w:val="80"/>
    <w:qFormat/>
    <w:uiPriority w:val="99"/>
  </w:style>
  <w:style w:type="paragraph" w:customStyle="1" w:styleId="269">
    <w:name w:val="TOC 标题1"/>
    <w:unhideWhenUsed/>
    <w:qFormat/>
    <w:uiPriority w:val="39"/>
    <w:rPr>
      <w:rFonts w:hint="default" w:ascii="Calibri" w:hAnsi="Calibri" w:eastAsia="宋体" w:cs="Times New Roman"/>
      <w:lang w:val="en-US" w:eastAsia="zh-CN" w:bidi="ar-SA"/>
    </w:rPr>
  </w:style>
  <w:style w:type="table" w:customStyle="1" w:styleId="270">
    <w:name w:val="SGS Table Basic 11"/>
    <w:basedOn w:val="80"/>
    <w:qFormat/>
    <w:uiPriority w:val="0"/>
    <w:pPr>
      <w:ind w:left="709" w:hanging="709"/>
    </w:pPr>
    <w:rPr>
      <w:rFonts w:ascii="Arial" w:hAnsi="Arial" w:cs="Times New Roman"/>
      <w:lang w:val="en-GB" w:eastAsia="en-US"/>
    </w:rPr>
  </w:style>
  <w:style w:type="character" w:customStyle="1" w:styleId="271">
    <w:name w:val="NormalCharacter1"/>
    <w:link w:val="1"/>
    <w:qFormat/>
    <w:uiPriority w:val="0"/>
    <w:rPr>
      <w:sz w:val="21"/>
      <w:szCs w:val="22"/>
      <w:lang w:val="en-US" w:eastAsia="zh-CN" w:bidi="ar-SA"/>
    </w:rPr>
  </w:style>
  <w:style w:type="paragraph" w:customStyle="1" w:styleId="272">
    <w:name w:val="列出段落1"/>
    <w:basedOn w:val="1"/>
    <w:qFormat/>
    <w:uiPriority w:val="0"/>
    <w:pPr>
      <w:ind w:firstLine="200"/>
    </w:pPr>
    <w:rPr>
      <w:rFonts w:ascii="Calibri" w:hAnsi="Calibri" w:eastAsia="宋体" w:cs="Times New Roman"/>
    </w:rPr>
  </w:style>
  <w:style w:type="paragraph" w:styleId="273">
    <w:name w:val="List Paragraph"/>
    <w:basedOn w:val="1"/>
    <w:qFormat/>
    <w:uiPriority w:val="34"/>
    <w:pPr>
      <w:ind w:firstLine="420"/>
    </w:pPr>
    <w:rPr>
      <w:rFonts w:ascii="Calibri" w:hAnsi="Calibri" w:eastAsia="宋体" w:cs="Times New Roman"/>
      <w:szCs w:val="24"/>
    </w:rPr>
  </w:style>
  <w:style w:type="paragraph" w:customStyle="1" w:styleId="274">
    <w:name w:val="Table Paragraph"/>
    <w:basedOn w:val="1"/>
    <w:qFormat/>
    <w:uiPriority w:val="1"/>
    <w:pPr>
      <w:jc w:val="left"/>
    </w:pPr>
    <w:rPr>
      <w:rFonts w:ascii="仿宋" w:hAnsi="仿宋" w:eastAsia="仿宋" w:cs="仿宋"/>
      <w:sz w:val="22"/>
      <w:lang w:val="zh-CN" w:bidi="zh-CN"/>
    </w:rPr>
  </w:style>
  <w:style w:type="paragraph" w:customStyle="1" w:styleId="275">
    <w:name w:val="首行缩进"/>
    <w:basedOn w:val="1"/>
    <w:qFormat/>
    <w:uiPriority w:val="0"/>
    <w:pPr>
      <w:ind w:firstLine="480"/>
    </w:pPr>
    <w:rPr>
      <w:rFonts w:ascii="Times New Roman" w:hAnsi="Times New Roman" w:eastAsia="宋体" w:cs="Times New Roman"/>
      <w:szCs w:val="20"/>
      <w:lang w:val="zh-CN"/>
    </w:rPr>
  </w:style>
  <w:style w:type="paragraph" w:customStyle="1" w:styleId="276">
    <w:name w:val="正文1"/>
    <w:basedOn w:val="1"/>
    <w:qFormat/>
    <w:uiPriority w:val="0"/>
    <w:pPr>
      <w:spacing w:line="360" w:lineRule="auto"/>
      <w:ind w:firstLine="361"/>
    </w:pPr>
    <w:rPr>
      <w:rFonts w:ascii="宋体" w:hAnsi="宋体" w:eastAsia="宋体" w:cs="Times New Roman"/>
      <w:szCs w:val="24"/>
    </w:rPr>
  </w:style>
  <w:style w:type="character" w:customStyle="1" w:styleId="277">
    <w:name w:val="正文缩进2格 Char"/>
    <w:link w:val="278"/>
    <w:qFormat/>
    <w:uiPriority w:val="0"/>
    <w:rPr>
      <w:rFonts w:ascii="仿宋_GB2312" w:hAnsi="宋体" w:eastAsia="仿宋_GB2312"/>
      <w:sz w:val="31"/>
      <w:szCs w:val="28"/>
    </w:rPr>
  </w:style>
  <w:style w:type="paragraph" w:customStyle="1" w:styleId="278">
    <w:name w:val="正文缩进2格"/>
    <w:basedOn w:val="1"/>
    <w:link w:val="277"/>
    <w:qFormat/>
    <w:uiPriority w:val="0"/>
    <w:pPr>
      <w:spacing w:line="600" w:lineRule="exact"/>
      <w:ind w:firstLine="639"/>
    </w:pPr>
    <w:rPr>
      <w:rFonts w:ascii="仿宋_GB2312" w:hAnsi="宋体" w:eastAsia="仿宋_GB2312"/>
      <w:sz w:val="31"/>
      <w:szCs w:val="28"/>
    </w:rPr>
  </w:style>
  <w:style w:type="paragraph" w:customStyle="1" w:styleId="279">
    <w:name w:val="Default"/>
    <w:next w:val="1"/>
    <w:qFormat/>
    <w:uiPriority w:val="0"/>
    <w:pPr>
      <w:widowControl w:val="0"/>
    </w:pPr>
    <w:rPr>
      <w:rFonts w:hint="default" w:ascii="Times New Roman" w:hAnsi="Times New Roman" w:eastAsia="宋体" w:cs="Times New Roman"/>
      <w:color w:val="000000"/>
      <w:sz w:val="24"/>
      <w:lang w:val="en-US" w:eastAsia="zh-CN" w:bidi="ar-SA"/>
    </w:rPr>
  </w:style>
  <w:style w:type="character" w:customStyle="1" w:styleId="280">
    <w:name w:val="未处理的提及1"/>
    <w:basedOn w:val="79"/>
    <w:link w:val="1"/>
    <w:unhideWhenUsed/>
    <w:qFormat/>
    <w:uiPriority w:val="99"/>
    <w:rPr>
      <w:color w:val="605E5C"/>
      <w:shd w:val="clear" w:color="auto" w:fill="E1DFDD"/>
    </w:rPr>
  </w:style>
  <w:style w:type="paragraph" w:customStyle="1" w:styleId="281">
    <w:name w:val="正文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82">
    <w:name w:val="正文文本首行缩进1"/>
    <w:basedOn w:val="283"/>
    <w:qFormat/>
    <w:uiPriority w:val="0"/>
    <w:pPr>
      <w:spacing w:line="360" w:lineRule="auto"/>
      <w:ind w:firstLine="200"/>
    </w:pPr>
    <w:rPr>
      <w:rFonts w:ascii="仿宋_GB2312" w:hAnsi="Times New Roman" w:eastAsia="仿宋_GB2312"/>
      <w:sz w:val="30"/>
      <w:szCs w:val="30"/>
    </w:rPr>
  </w:style>
  <w:style w:type="paragraph" w:customStyle="1" w:styleId="283">
    <w:name w:val="正文文本1"/>
    <w:basedOn w:val="1"/>
    <w:next w:val="1"/>
    <w:qFormat/>
    <w:uiPriority w:val="0"/>
    <w:rPr>
      <w:rFonts w:ascii="楷体_GB2312" w:hAnsi="Arial" w:eastAsia="楷体_GB2312"/>
      <w:sz w:val="28"/>
      <w:szCs w:val="28"/>
    </w:rPr>
  </w:style>
  <w:style w:type="paragraph" w:customStyle="1" w:styleId="284">
    <w:name w:val="正文首行缩进1"/>
    <w:basedOn w:val="285"/>
    <w:qFormat/>
    <w:uiPriority w:val="0"/>
    <w:pPr>
      <w:ind w:firstLine="420"/>
    </w:pPr>
  </w:style>
  <w:style w:type="paragraph" w:customStyle="1" w:styleId="285">
    <w:name w:val="正文文本11"/>
    <w:basedOn w:val="1"/>
    <w:next w:val="1"/>
    <w:qFormat/>
    <w:uiPriority w:val="0"/>
    <w:rPr>
      <w:rFonts w:ascii="仿宋_GB2312" w:eastAsia="仿宋_GB2312"/>
      <w:sz w:val="24"/>
      <w:lang w:eastAsia="en-US"/>
    </w:rPr>
  </w:style>
  <w:style w:type="paragraph" w:customStyle="1" w:styleId="286">
    <w:name w:val="样式 首行缩进:  2 字符"/>
    <w:basedOn w:val="1"/>
    <w:qFormat/>
    <w:uiPriority w:val="0"/>
    <w:pPr>
      <w:spacing w:line="360" w:lineRule="auto"/>
      <w:ind w:firstLine="200"/>
      <w:jc w:val="left"/>
    </w:pPr>
    <w:rPr>
      <w:rFonts w:ascii="宋体" w:cs="宋体"/>
      <w:color w:val="000000"/>
      <w:sz w:val="24"/>
      <w:szCs w:val="24"/>
    </w:rPr>
  </w:style>
  <w:style w:type="paragraph" w:customStyle="1" w:styleId="287">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88">
    <w:name w:val="Table Text"/>
    <w:basedOn w:val="1"/>
    <w:semiHidden/>
    <w:qFormat/>
    <w:uiPriority w:val="0"/>
    <w:rPr>
      <w:rFonts w:ascii="宋体" w:hAnsi="宋体" w:eastAsia="宋体" w:cs="宋体"/>
      <w:sz w:val="20"/>
      <w:szCs w:val="20"/>
      <w:lang w:val="en-US" w:eastAsia="en-US" w:bidi="ar-SA"/>
    </w:rPr>
  </w:style>
  <w:style w:type="table" w:customStyle="1" w:styleId="289">
    <w:name w:val="Table Normal"/>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jshl</Company>
  <Pages>47</Pages>
  <Words>14323</Words>
  <Characters>15360</Characters>
  <TotalTime>72</TotalTime>
  <ScaleCrop>false</ScaleCrop>
  <LinksUpToDate>false</LinksUpToDate>
  <CharactersWithSpaces>15536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2024-10-25T11:26:00Z</dcterms:created>
  <dc:creator>bail</dc:creator>
  <cp:lastModifiedBy>Apple</cp:lastModifiedBy>
  <dcterms:modified xsi:type="dcterms:W3CDTF">2025-11-27T03:34:47Z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eyJoZGlkIjoiNTVkMTk0NDllYWQwOTYyMTMxMWRiNjI1MTRjOGFjNDgiLCJ1c2VySWQiOiIyNTQyODM0MDIifQ==</vt:lpwstr>
  </property>
  <property fmtid="{D5CDD505-2E9C-101B-9397-08002B2CF9AE}" pid="3" name="KSOProductBuildVer">
    <vt:lpwstr>2052-12.1.0.23542</vt:lpwstr>
  </property>
  <property fmtid="{D5CDD505-2E9C-101B-9397-08002B2CF9AE}" pid="4" name="ICV">
    <vt:lpwstr>53BFB14E74B84CC793E7D47CBB1CDDA4_13</vt:lpwstr>
  </property>
</Properties>
</file>